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A"/>
      </w:pPr>
    </w:p>
    <w:p>
      <w:pPr>
        <w:pStyle w:val="Title A"/>
        <w:rPr>
          <w:kern w:val="18"/>
        </w:rPr>
      </w:pPr>
      <w:r>
        <w:rPr>
          <w:rFonts w:cs="Arial Unicode MS" w:eastAsia="Arial Unicode MS"/>
          <w:kern w:val="18"/>
          <w:rtl w:val="0"/>
          <w:lang w:val="en-US"/>
        </w:rPr>
        <w:t>Mark S. Paxton</w:t>
      </w:r>
    </w:p>
    <w:p>
      <w:pPr>
        <w:pStyle w:val="Title A"/>
        <w:rPr>
          <w:kern w:val="18"/>
          <w:sz w:val="22"/>
          <w:szCs w:val="22"/>
        </w:rPr>
      </w:pPr>
      <w:r>
        <w:rPr>
          <w:rFonts w:cs="Arial Unicode MS" w:eastAsia="Arial Unicode MS"/>
          <w:kern w:val="18"/>
          <w:sz w:val="22"/>
          <w:szCs w:val="22"/>
          <w:rtl w:val="0"/>
          <w:lang w:val="en-US"/>
        </w:rPr>
        <w:t xml:space="preserve">117 Classic Court </w:t>
      </w:r>
      <w:r>
        <w:rPr>
          <w:rFonts w:ascii="Helvetica" w:hAnsi="Helvetica" w:hint="default"/>
          <w:b w:val="0"/>
          <w:bCs w:val="0"/>
          <w:kern w:val="18"/>
          <w:sz w:val="22"/>
          <w:szCs w:val="22"/>
          <w:rtl w:val="0"/>
          <w:lang w:val="en-US"/>
        </w:rPr>
        <w:t>●</w:t>
      </w:r>
      <w:r>
        <w:rPr>
          <w:rFonts w:cs="Arial Unicode MS" w:eastAsia="Arial Unicode MS"/>
          <w:kern w:val="18"/>
          <w:sz w:val="22"/>
          <w:szCs w:val="22"/>
          <w:rtl w:val="0"/>
          <w:lang w:val="en-US"/>
        </w:rPr>
        <w:t xml:space="preserve"> Versailles, Kentucky </w:t>
      </w:r>
      <w:r>
        <w:rPr>
          <w:rFonts w:ascii="Helvetica" w:hAnsi="Helvetica" w:hint="default"/>
          <w:b w:val="0"/>
          <w:bCs w:val="0"/>
          <w:kern w:val="18"/>
          <w:sz w:val="22"/>
          <w:szCs w:val="22"/>
          <w:rtl w:val="0"/>
          <w:lang w:val="en-US"/>
        </w:rPr>
        <w:t xml:space="preserve">● </w:t>
      </w:r>
      <w:r>
        <w:rPr>
          <w:rFonts w:cs="Arial Unicode MS" w:eastAsia="Arial Unicode MS"/>
          <w:kern w:val="18"/>
          <w:sz w:val="22"/>
          <w:szCs w:val="22"/>
          <w:rtl w:val="0"/>
          <w:lang w:val="en-US"/>
        </w:rPr>
        <w:t>40383</w:t>
      </w:r>
    </w:p>
    <w:p>
      <w:pPr>
        <w:pStyle w:val="Body A"/>
        <w:spacing w:line="252" w:lineRule="auto"/>
        <w:jc w:val="center"/>
        <w:rPr>
          <w:rFonts w:ascii="Times New Roman" w:cs="Times New Roman" w:hAnsi="Times New Roman" w:eastAsia="Times New Roman"/>
          <w:b w:val="1"/>
          <w:bCs w:val="1"/>
          <w:kern w:val="18"/>
          <w:sz w:val="22"/>
          <w:szCs w:val="22"/>
        </w:rPr>
      </w:pPr>
      <w:r>
        <w:rPr>
          <w:rFonts w:ascii="Times New Roman" w:hAnsi="Times New Roman"/>
          <w:b w:val="1"/>
          <w:bCs w:val="1"/>
          <w:kern w:val="18"/>
          <w:sz w:val="22"/>
          <w:szCs w:val="22"/>
          <w:rtl w:val="0"/>
          <w:lang w:val="de-DE"/>
        </w:rPr>
        <w:t>Tel:</w:t>
      </w:r>
      <w:r>
        <w:rPr>
          <w:rFonts w:ascii="Times New Roman" w:hAnsi="Times New Roman"/>
          <w:kern w:val="18"/>
          <w:sz w:val="22"/>
          <w:szCs w:val="22"/>
          <w:rtl w:val="0"/>
          <w:lang w:val="de-DE"/>
        </w:rPr>
        <w:t xml:space="preserve"> </w:t>
      </w:r>
      <w:r>
        <w:rPr>
          <w:rFonts w:ascii="Times New Roman" w:hAnsi="Times New Roman"/>
          <w:b w:val="1"/>
          <w:bCs w:val="1"/>
          <w:kern w:val="18"/>
          <w:sz w:val="22"/>
          <w:szCs w:val="22"/>
          <w:rtl w:val="0"/>
          <w:lang w:val="de-DE"/>
        </w:rPr>
        <w:t xml:space="preserve">(859) 536-6275  </w:t>
      </w:r>
      <w:r>
        <w:rPr>
          <w:rFonts w:ascii="Helvetica" w:hAnsi="Helvetica" w:hint="default"/>
          <w:kern w:val="18"/>
          <w:sz w:val="22"/>
          <w:szCs w:val="22"/>
          <w:rtl w:val="0"/>
          <w:lang w:val="en-US"/>
        </w:rPr>
        <w:t xml:space="preserve">● </w:t>
      </w:r>
      <w:r>
        <w:rPr>
          <w:rFonts w:ascii="Helvetica" w:hAnsi="Helvetica"/>
          <w:kern w:val="18"/>
          <w:sz w:val="22"/>
          <w:szCs w:val="22"/>
          <w:rtl w:val="0"/>
          <w:lang w:val="de-DE"/>
        </w:rPr>
        <w:t xml:space="preserve"> </w:t>
      </w:r>
      <w:r>
        <w:rPr>
          <w:rFonts w:ascii="Times New Roman" w:hAnsi="Times New Roman"/>
          <w:b w:val="1"/>
          <w:bCs w:val="1"/>
          <w:kern w:val="18"/>
          <w:sz w:val="22"/>
          <w:szCs w:val="22"/>
          <w:rtl w:val="0"/>
          <w:lang w:val="de-DE"/>
        </w:rPr>
        <w:t>Email: markspaxton@gmail.com</w:t>
      </w:r>
    </w:p>
    <w:p>
      <w:pPr>
        <w:pStyle w:val="Heading 1 A A"/>
      </w:pPr>
    </w:p>
    <w:p>
      <w:pPr>
        <w:pStyle w:val="Heading 1 A A"/>
        <w:rPr>
          <w:kern w:val="18"/>
          <w:sz w:val="22"/>
          <w:szCs w:val="22"/>
        </w:rPr>
      </w:pPr>
      <w:r>
        <w:rPr>
          <w:kern w:val="18"/>
          <w:sz w:val="22"/>
          <w:szCs w:val="22"/>
          <w:rtl w:val="0"/>
          <w:lang w:val="en-US"/>
        </w:rPr>
        <w:t>PROFESSIONAL EXPERIENCE AND EMPLOYMENT</w:t>
      </w:r>
    </w:p>
    <w:p>
      <w:pPr>
        <w:pStyle w:val="Heading 4 A"/>
        <w:rPr>
          <w:i w:val="1"/>
          <w:iCs w:val="1"/>
        </w:rPr>
      </w:pPr>
      <w:r>
        <w:rPr>
          <w:i w:val="1"/>
          <w:iCs w:val="1"/>
          <w:sz w:val="26"/>
          <w:szCs w:val="26"/>
        </w:rPr>
        <w:tab/>
      </w:r>
      <w:r>
        <w:rPr>
          <w:i w:val="1"/>
          <w:iCs w:val="1"/>
        </w:rPr>
        <w:tab/>
      </w:r>
    </w:p>
    <w:p>
      <w:pPr>
        <w:pStyle w:val="Heading 4 A"/>
        <w:rPr>
          <w:i w:val="1"/>
          <w:iCs w:val="1"/>
        </w:rPr>
      </w:pPr>
    </w:p>
    <w:p>
      <w:pPr>
        <w:pStyle w:val="Heading 4 A"/>
      </w:pPr>
      <w:r>
        <w:rPr>
          <w:rFonts w:cs="Arial Unicode MS" w:eastAsia="Arial Unicode MS"/>
          <w:rtl w:val="0"/>
          <w:lang w:val="en-US"/>
        </w:rPr>
        <w:t>Brown Rudnick, LLP, Washington DC</w:t>
      </w:r>
      <w:r>
        <w:rPr>
          <w:i w:val="1"/>
          <w:iCs w:val="1"/>
        </w:rPr>
        <w:tab/>
        <w:tab/>
        <w:tab/>
        <w:tab/>
      </w:r>
      <w:r>
        <w:rPr>
          <w:rFonts w:cs="Arial Unicode MS" w:eastAsia="Arial Unicode MS"/>
          <w:rtl w:val="0"/>
          <w:lang w:val="en-US"/>
        </w:rPr>
        <w:t>September 2023 - Present</w:t>
      </w:r>
    </w:p>
    <w:p>
      <w:pPr>
        <w:pStyle w:val="Body A"/>
      </w:pPr>
    </w:p>
    <w:p>
      <w:pPr>
        <w:pStyle w:val="Heading 4 A"/>
        <w:numPr>
          <w:ilvl w:val="0"/>
          <w:numId w:val="2"/>
        </w:numPr>
        <w:bidi w:val="0"/>
        <w:ind w:right="0"/>
        <w:jc w:val="left"/>
        <w:rPr>
          <w:b w:val="0"/>
          <w:bCs w:val="0"/>
          <w:rtl w:val="0"/>
          <w:lang w:val="en-US"/>
        </w:rPr>
      </w:pPr>
      <w:r>
        <w:rPr>
          <w:b w:val="0"/>
          <w:bCs w:val="0"/>
          <w:rtl w:val="0"/>
          <w:lang w:val="en-US"/>
        </w:rPr>
        <w:t>Operating under an innovative arrangement with Brown Rudnick, provide comprehensive FDA regulatory and compliance counsel to the firm</w:t>
      </w:r>
      <w:r>
        <w:rPr>
          <w:b w:val="0"/>
          <w:bCs w:val="0"/>
          <w:rtl w:val="0"/>
          <w:lang w:val="en-US"/>
        </w:rPr>
        <w:t>’</w:t>
      </w:r>
      <w:r>
        <w:rPr>
          <w:b w:val="0"/>
          <w:bCs w:val="0"/>
          <w:rtl w:val="0"/>
          <w:lang w:val="en-US"/>
        </w:rPr>
        <w:t>s life science and BioAdvisory Services team. Regulatory and compliance advice covers FDA requirements for small molecules, biologicals (including HCT/Ps), medical devices and health tech (e.g., SaMD), and cosmetic and dietary ingredients and supplements.</w:t>
      </w:r>
    </w:p>
    <w:p>
      <w:pPr>
        <w:pStyle w:val="Body A"/>
      </w:pPr>
    </w:p>
    <w:p>
      <w:pPr>
        <w:pStyle w:val="Body A"/>
        <w:rPr>
          <w:rFonts w:ascii="Times New Roman" w:cs="Times New Roman" w:hAnsi="Times New Roman" w:eastAsia="Times New Roman"/>
          <w:b w:val="1"/>
          <w:bCs w:val="1"/>
          <w:sz w:val="22"/>
          <w:szCs w:val="22"/>
          <w:lang w:val="en-US"/>
        </w:rPr>
      </w:pPr>
      <w:r>
        <w:rPr>
          <w:rFonts w:ascii="Times New Roman" w:hAnsi="Times New Roman"/>
          <w:b w:val="1"/>
          <w:bCs w:val="1"/>
          <w:sz w:val="22"/>
          <w:szCs w:val="22"/>
          <w:rtl w:val="0"/>
          <w:lang w:val="en-US"/>
        </w:rPr>
        <w:t>Defender Pharmaceuticals, LLC, St. Louis, MO</w:t>
        <w:tab/>
        <w:tab/>
        <w:tab/>
        <w:t>January 2023 - March 2024</w:t>
      </w:r>
    </w:p>
    <w:p>
      <w:pPr>
        <w:pStyle w:val="Body A"/>
        <w:rPr>
          <w:rFonts w:ascii="Times New Roman" w:cs="Times New Roman" w:hAnsi="Times New Roman" w:eastAsia="Times New Roman"/>
          <w:b w:val="1"/>
          <w:bCs w:val="1"/>
          <w:sz w:val="22"/>
          <w:szCs w:val="22"/>
          <w:lang w:val="en-US"/>
        </w:rPr>
      </w:pPr>
      <w:r>
        <w:rPr>
          <w:rFonts w:ascii="Times New Roman" w:hAnsi="Times New Roman"/>
          <w:b w:val="1"/>
          <w:bCs w:val="1"/>
          <w:sz w:val="22"/>
          <w:szCs w:val="22"/>
          <w:rtl w:val="0"/>
          <w:lang w:val="en-US"/>
        </w:rPr>
        <w:t>VP Regulatory Affairs and Quality Assurance/Consultant</w:t>
      </w:r>
    </w:p>
    <w:p>
      <w:pPr>
        <w:pStyle w:val="Body A"/>
        <w:rPr>
          <w:rFonts w:ascii="Times New Roman" w:cs="Times New Roman" w:hAnsi="Times New Roman" w:eastAsia="Times New Roman"/>
          <w:b w:val="1"/>
          <w:bCs w:val="1"/>
          <w:sz w:val="22"/>
          <w:szCs w:val="22"/>
        </w:rPr>
      </w:pPr>
    </w:p>
    <w:p>
      <w:pPr>
        <w:pStyle w:val="Body A"/>
        <w:numPr>
          <w:ilvl w:val="0"/>
          <w:numId w:val="4"/>
        </w:numPr>
        <w:bidi w:val="0"/>
        <w:ind w:right="0"/>
        <w:jc w:val="left"/>
        <w:rPr>
          <w:rFonts w:ascii="Times New Roman" w:hAnsi="Times New Roman"/>
          <w:i w:val="1"/>
          <w:iCs w:val="1"/>
          <w:sz w:val="22"/>
          <w:szCs w:val="22"/>
          <w:rtl w:val="0"/>
          <w:lang w:val="en-US"/>
        </w:rPr>
      </w:pPr>
      <w:r>
        <w:rPr>
          <w:rFonts w:ascii="Times New Roman" w:hAnsi="Times New Roman"/>
          <w:i w:val="0"/>
          <w:iCs w:val="0"/>
          <w:sz w:val="22"/>
          <w:szCs w:val="22"/>
          <w:rtl w:val="0"/>
          <w:lang w:val="en-US"/>
        </w:rPr>
        <w:t>Support the acquisition, development and implementation of a 21 CFR Part 11 compliant EDMS.</w:t>
      </w:r>
    </w:p>
    <w:p>
      <w:pPr>
        <w:pStyle w:val="Body A"/>
        <w:numPr>
          <w:ilvl w:val="0"/>
          <w:numId w:val="4"/>
        </w:numPr>
        <w:bidi w:val="0"/>
        <w:ind w:right="0"/>
        <w:jc w:val="left"/>
        <w:rPr>
          <w:rFonts w:ascii="Times New Roman" w:hAnsi="Times New Roman"/>
          <w:i w:val="1"/>
          <w:iCs w:val="1"/>
          <w:sz w:val="22"/>
          <w:szCs w:val="22"/>
          <w:rtl w:val="0"/>
          <w:lang w:val="en-US"/>
        </w:rPr>
      </w:pPr>
      <w:r>
        <w:rPr>
          <w:rFonts w:ascii="Times New Roman" w:hAnsi="Times New Roman"/>
          <w:i w:val="0"/>
          <w:iCs w:val="0"/>
          <w:sz w:val="22"/>
          <w:szCs w:val="22"/>
          <w:rtl w:val="0"/>
          <w:lang w:val="en-US"/>
        </w:rPr>
        <w:t>Assist and provide leadership to the Quality team to ensure corporate wide support of QMS compliant processes and procedures for the management of the company</w:t>
      </w:r>
      <w:r>
        <w:rPr>
          <w:rFonts w:ascii="Times New Roman" w:hAnsi="Times New Roman" w:hint="default"/>
          <w:i w:val="0"/>
          <w:iCs w:val="0"/>
          <w:sz w:val="22"/>
          <w:szCs w:val="22"/>
          <w:rtl w:val="0"/>
          <w:lang w:val="en-US"/>
        </w:rPr>
        <w:t>’</w:t>
      </w:r>
      <w:r>
        <w:rPr>
          <w:rFonts w:ascii="Times New Roman" w:hAnsi="Times New Roman"/>
          <w:i w:val="0"/>
          <w:iCs w:val="0"/>
          <w:sz w:val="22"/>
          <w:szCs w:val="22"/>
          <w:rtl w:val="0"/>
          <w:lang w:val="en-US"/>
        </w:rPr>
        <w:t>s lead drug/device combination product.</w:t>
      </w:r>
    </w:p>
    <w:p>
      <w:pPr>
        <w:pStyle w:val="Body A"/>
        <w:numPr>
          <w:ilvl w:val="0"/>
          <w:numId w:val="4"/>
        </w:numPr>
        <w:bidi w:val="0"/>
        <w:ind w:right="0"/>
        <w:jc w:val="left"/>
        <w:rPr>
          <w:rFonts w:ascii="Times New Roman" w:hAnsi="Times New Roman"/>
          <w:i w:val="1"/>
          <w:iCs w:val="1"/>
          <w:sz w:val="22"/>
          <w:szCs w:val="22"/>
          <w:rtl w:val="0"/>
          <w:lang w:val="en-US"/>
        </w:rPr>
      </w:pPr>
      <w:r>
        <w:rPr>
          <w:rFonts w:ascii="Times New Roman" w:hAnsi="Times New Roman"/>
          <w:i w:val="0"/>
          <w:iCs w:val="0"/>
          <w:sz w:val="22"/>
          <w:szCs w:val="22"/>
          <w:rtl w:val="0"/>
          <w:lang w:val="en-US"/>
        </w:rPr>
        <w:t>Review, assess and report on GMP and GCP conformance issues to the General Counsel covering the development of early stage manufacturing processes/clinical programs through the final Phase III trial in anticipation of NDA submission (a lot of work!).</w:t>
      </w:r>
    </w:p>
    <w:p>
      <w:pPr>
        <w:pStyle w:val="Body A"/>
        <w:numPr>
          <w:ilvl w:val="0"/>
          <w:numId w:val="4"/>
        </w:numPr>
        <w:bidi w:val="0"/>
        <w:ind w:right="0"/>
        <w:jc w:val="left"/>
        <w:rPr>
          <w:rFonts w:ascii="Times New Roman" w:hAnsi="Times New Roman"/>
          <w:i w:val="1"/>
          <w:iCs w:val="1"/>
          <w:sz w:val="22"/>
          <w:szCs w:val="22"/>
          <w:rtl w:val="0"/>
          <w:lang w:val="en-US"/>
        </w:rPr>
      </w:pPr>
      <w:r>
        <w:rPr>
          <w:rFonts w:ascii="Times New Roman" w:hAnsi="Times New Roman"/>
          <w:i w:val="0"/>
          <w:iCs w:val="0"/>
          <w:sz w:val="22"/>
          <w:szCs w:val="22"/>
          <w:rtl w:val="0"/>
          <w:lang w:val="en-US"/>
        </w:rPr>
        <w:t xml:space="preserve">Interact with C suite executives on adoption of necessary regulatory strategies and corrective action (CAPA) regulations. </w:t>
      </w:r>
    </w:p>
    <w:p>
      <w:pPr>
        <w:pStyle w:val="Body A"/>
        <w:numPr>
          <w:ilvl w:val="0"/>
          <w:numId w:val="4"/>
        </w:numPr>
        <w:bidi w:val="0"/>
        <w:ind w:right="0"/>
        <w:jc w:val="left"/>
        <w:rPr>
          <w:rFonts w:ascii="Times New Roman" w:hAnsi="Times New Roman"/>
          <w:i w:val="1"/>
          <w:iCs w:val="1"/>
          <w:sz w:val="22"/>
          <w:szCs w:val="22"/>
          <w:rtl w:val="0"/>
          <w:lang w:val="en-US"/>
        </w:rPr>
      </w:pPr>
      <w:r>
        <w:rPr>
          <w:rFonts w:ascii="Times New Roman" w:hAnsi="Times New Roman"/>
          <w:i w:val="0"/>
          <w:iCs w:val="0"/>
          <w:sz w:val="22"/>
          <w:szCs w:val="22"/>
          <w:rtl w:val="0"/>
          <w:lang w:val="en-US"/>
        </w:rPr>
        <w:t>Upon request, address the Board on FDA regulatory matters.</w:t>
      </w:r>
    </w:p>
    <w:p>
      <w:pPr>
        <w:pStyle w:val="Body A"/>
      </w:pPr>
    </w:p>
    <w:p>
      <w:pPr>
        <w:pStyle w:val="Heading 4 A"/>
        <w:rPr>
          <w:i w:val="1"/>
          <w:iCs w:val="1"/>
          <w:sz w:val="26"/>
          <w:szCs w:val="26"/>
        </w:rPr>
      </w:pPr>
      <w:r>
        <w:rPr>
          <w:rFonts w:cs="Arial Unicode MS" w:eastAsia="Arial Unicode MS"/>
          <w:i w:val="1"/>
          <w:iCs w:val="1"/>
          <w:sz w:val="26"/>
          <w:szCs w:val="26"/>
          <w:rtl w:val="0"/>
          <w:lang w:val="en-US"/>
        </w:rPr>
        <w:t>US Department of the Army, Fort Detrick, MD</w:t>
      </w:r>
    </w:p>
    <w:p>
      <w:pPr>
        <w:pStyle w:val="Heading 4 A"/>
        <w:rPr>
          <w:i w:val="1"/>
          <w:iCs w:val="1"/>
        </w:rPr>
      </w:pPr>
    </w:p>
    <w:p>
      <w:pPr>
        <w:pStyle w:val="Heading 4 A"/>
      </w:pPr>
      <w:r>
        <w:rPr>
          <w:rFonts w:cs="Arial Unicode MS" w:eastAsia="Arial Unicode MS"/>
          <w:rtl w:val="0"/>
          <w:lang w:val="en-US"/>
        </w:rPr>
        <w:t xml:space="preserve">FDA Sponsor Representative for the Surgeon General of the Army, US Army Medical Research and </w:t>
      </w:r>
    </w:p>
    <w:p>
      <w:pPr>
        <w:pStyle w:val="Heading 4 A"/>
      </w:pPr>
      <w:r>
        <w:rPr>
          <w:rFonts w:cs="Arial Unicode MS" w:eastAsia="Arial Unicode MS"/>
          <w:rtl w:val="0"/>
          <w:lang w:val="en-US"/>
        </w:rPr>
        <w:t>Development Command</w:t>
        <w:tab/>
        <w:tab/>
        <w:tab/>
        <w:tab/>
        <w:tab/>
        <w:t>September 2018 - November 2022</w:t>
        <w:tab/>
        <w:tab/>
        <w:tab/>
        <w:tab/>
      </w:r>
    </w:p>
    <w:p>
      <w:pPr>
        <w:pStyle w:val="Heading 4 A"/>
        <w:numPr>
          <w:ilvl w:val="0"/>
          <w:numId w:val="2"/>
        </w:numPr>
        <w:bidi w:val="0"/>
        <w:ind w:right="0"/>
        <w:jc w:val="left"/>
        <w:rPr>
          <w:b w:val="0"/>
          <w:bCs w:val="0"/>
          <w:rtl w:val="0"/>
          <w:lang w:val="en-US"/>
        </w:rPr>
      </w:pPr>
      <w:r>
        <w:rPr>
          <w:b w:val="0"/>
          <w:bCs w:val="0"/>
          <w:rtl w:val="0"/>
          <w:lang w:val="en-US"/>
        </w:rPr>
        <w:t>On behalf of the Surgeon General of the Army and the Chief Medical Officer of the Defense Health Agency (DHA), served as the final decision maker on all regulatory submissions to the US Food and Drug Administration.</w:t>
      </w:r>
    </w:p>
    <w:p>
      <w:pPr>
        <w:pStyle w:val="Body A"/>
        <w:numPr>
          <w:ilvl w:val="0"/>
          <w:numId w:val="5"/>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Primary Point of Contact for all FDA Centers on behalf of DoD sponsored investigational articles, approved products and other regulated products. In this capacity, I led or oversaw countless interactions with the Agency covering all regulated product types both at the review team and Center Director Office levels.</w:t>
      </w:r>
    </w:p>
    <w:p>
      <w:pPr>
        <w:pStyle w:val="Body A"/>
        <w:numPr>
          <w:ilvl w:val="0"/>
          <w:numId w:val="5"/>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Provided advice to MRDC sub-commands (e.g., Walter Reed Army Institute of Research, Institute of Surgical Research, etc.) on biologicals, including stem cells, regenerative medicine, and other HCT/Ps on proper regulatory pathways including CBER medical device jurisdiction and applicability of PHSA Sections 351 and 361.</w:t>
      </w:r>
    </w:p>
    <w:p>
      <w:pPr>
        <w:pStyle w:val="Body A"/>
        <w:numPr>
          <w:ilvl w:val="0"/>
          <w:numId w:val="2"/>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Oversaw every aspect of  Army</w:t>
      </w:r>
      <w:r>
        <w:rPr>
          <w:rFonts w:ascii="Times New Roman" w:hAnsi="Times New Roman" w:hint="default"/>
          <w:kern w:val="18"/>
          <w:sz w:val="22"/>
          <w:szCs w:val="22"/>
          <w:rtl w:val="0"/>
          <w:lang w:val="en-US"/>
        </w:rPr>
        <w:t>’</w:t>
      </w:r>
      <w:r>
        <w:rPr>
          <w:rFonts w:ascii="Times New Roman" w:hAnsi="Times New Roman"/>
          <w:kern w:val="18"/>
          <w:sz w:val="22"/>
          <w:szCs w:val="22"/>
          <w:rtl w:val="0"/>
          <w:lang w:val="en-US"/>
        </w:rPr>
        <w:t>s/DHA</w:t>
      </w:r>
      <w:r>
        <w:rPr>
          <w:rFonts w:ascii="Times New Roman" w:hAnsi="Times New Roman" w:hint="default"/>
          <w:kern w:val="18"/>
          <w:sz w:val="22"/>
          <w:szCs w:val="22"/>
          <w:rtl w:val="0"/>
          <w:lang w:val="en-US"/>
        </w:rPr>
        <w:t>’</w:t>
      </w:r>
      <w:r>
        <w:rPr>
          <w:rFonts w:ascii="Times New Roman" w:hAnsi="Times New Roman"/>
          <w:kern w:val="18"/>
          <w:sz w:val="22"/>
          <w:szCs w:val="22"/>
          <w:rtl w:val="0"/>
          <w:lang w:val="en-US"/>
        </w:rPr>
        <w:t>s regulatory compliance function, including its internal Quality System, SOP development and approval, and established a compliant vendor qualification program.</w:t>
      </w:r>
    </w:p>
    <w:p>
      <w:pPr>
        <w:pStyle w:val="Body A"/>
        <w:numPr>
          <w:ilvl w:val="0"/>
          <w:numId w:val="2"/>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 xml:space="preserve">Provided regulatory leadership to a staff of approximately 70 Army civilian, military and contractors in support of advanced medical product development. </w:t>
      </w:r>
    </w:p>
    <w:p>
      <w:pPr>
        <w:pStyle w:val="Body A"/>
        <w:numPr>
          <w:ilvl w:val="0"/>
          <w:numId w:val="2"/>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M</w:t>
      </w:r>
      <w:r>
        <w:rPr>
          <w:rFonts w:ascii="Times New Roman" w:hAnsi="Times New Roman"/>
          <w:kern w:val="18"/>
          <w:sz w:val="22"/>
          <w:szCs w:val="22"/>
          <w:rtl w:val="0"/>
          <w:lang w:val="en-US"/>
        </w:rPr>
        <w:t>anaged approximately 80 wide-ranging projects, with over 200 submissions per year, including NDA annual reports, INDs (CMC and Clinical Protocol development processes), DMFs, formal meeting requests to CDER, CBER and CDRH, and annual reports.</w:t>
      </w:r>
    </w:p>
    <w:p>
      <w:pPr>
        <w:pStyle w:val="Body A"/>
        <w:numPr>
          <w:ilvl w:val="0"/>
          <w:numId w:val="2"/>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Developed and implemented processes to integrate stand-alone Quality Agreements into DoD MSAs and supplier agreements as appendices to ensure proper conformance to regulatory agency expectations.</w:t>
      </w:r>
    </w:p>
    <w:p>
      <w:pPr>
        <w:pStyle w:val="Body A"/>
        <w:numPr>
          <w:ilvl w:val="0"/>
          <w:numId w:val="2"/>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 xml:space="preserve">Ensured conformance to local regulatory authority requirements for field (clinical) studies comprised of warfighters and allies deployed across the globe. </w:t>
      </w:r>
    </w:p>
    <w:p>
      <w:pPr>
        <w:pStyle w:val="Heading 4 A"/>
      </w:pPr>
    </w:p>
    <w:p>
      <w:pPr>
        <w:pStyle w:val="Heading 4 A"/>
        <w:rPr>
          <w:i w:val="1"/>
          <w:iCs w:val="1"/>
          <w:sz w:val="26"/>
          <w:szCs w:val="26"/>
        </w:rPr>
      </w:pPr>
      <w:r>
        <w:rPr>
          <w:rFonts w:cs="Arial Unicode MS" w:eastAsia="Arial Unicode MS"/>
          <w:i w:val="1"/>
          <w:iCs w:val="1"/>
          <w:sz w:val="26"/>
          <w:szCs w:val="26"/>
          <w:rtl w:val="0"/>
          <w:lang w:val="en-US"/>
        </w:rPr>
        <w:t>Rx-360, Washington DC Metro Area</w:t>
      </w:r>
    </w:p>
    <w:p>
      <w:pPr>
        <w:pStyle w:val="Body A"/>
        <w:rPr>
          <w:rFonts w:ascii="Times New Roman" w:cs="Times New Roman" w:hAnsi="Times New Roman" w:eastAsia="Times New Roman"/>
          <w:b w:val="1"/>
          <w:bCs w:val="1"/>
          <w:kern w:val="18"/>
          <w:sz w:val="22"/>
          <w:szCs w:val="22"/>
          <w:lang w:val="en-US"/>
        </w:rPr>
      </w:pPr>
      <w:r>
        <w:rPr>
          <w:rFonts w:ascii="Times New Roman" w:hAnsi="Times New Roman"/>
          <w:b w:val="1"/>
          <w:bCs w:val="1"/>
          <w:kern w:val="18"/>
          <w:sz w:val="22"/>
          <w:szCs w:val="22"/>
          <w:rtl w:val="0"/>
          <w:lang w:val="en-US"/>
        </w:rPr>
        <w:t>Chief Executive Officer</w:t>
        <w:tab/>
        <w:tab/>
        <w:tab/>
        <w:tab/>
        <w:tab/>
        <w:t>November 2015 - November 2017</w:t>
      </w:r>
    </w:p>
    <w:p>
      <w:pPr>
        <w:pStyle w:val="Body A"/>
        <w:rPr>
          <w:rFonts w:ascii="Times New Roman" w:cs="Times New Roman" w:hAnsi="Times New Roman" w:eastAsia="Times New Roman"/>
          <w:b w:val="1"/>
          <w:bCs w:val="1"/>
          <w:kern w:val="18"/>
          <w:sz w:val="22"/>
          <w:szCs w:val="22"/>
          <w:lang w:val="en-US"/>
        </w:rPr>
      </w:pPr>
    </w:p>
    <w:p>
      <w:pPr>
        <w:pStyle w:val="Body A"/>
        <w:rPr>
          <w:rFonts w:ascii="Times New Roman" w:cs="Times New Roman" w:hAnsi="Times New Roman" w:eastAsia="Times New Roman"/>
          <w:kern w:val="18"/>
          <w:sz w:val="22"/>
          <w:szCs w:val="22"/>
          <w:lang w:val="en-US"/>
        </w:rPr>
      </w:pPr>
      <w:r>
        <w:rPr>
          <w:rFonts w:ascii="Times New Roman" w:hAnsi="Times New Roman"/>
          <w:kern w:val="18"/>
          <w:sz w:val="22"/>
          <w:szCs w:val="22"/>
          <w:rtl w:val="0"/>
          <w:lang w:val="en-US"/>
        </w:rPr>
        <w:t>Provided executive leadership to the organization as it transitioned all management, operational and administrative functions from its former Secretariat (a large, DC-based laws firm) while ensuring seamless integration with new systems with little or no disruption to existing operations.</w:t>
      </w:r>
    </w:p>
    <w:p>
      <w:pPr>
        <w:pStyle w:val="Body A"/>
        <w:rPr>
          <w:rFonts w:ascii="Times New Roman" w:cs="Times New Roman" w:hAnsi="Times New Roman" w:eastAsia="Times New Roman"/>
          <w:kern w:val="18"/>
          <w:sz w:val="22"/>
          <w:szCs w:val="22"/>
        </w:rPr>
      </w:pPr>
    </w:p>
    <w:p>
      <w:pPr>
        <w:pStyle w:val="Body A"/>
        <w:rPr>
          <w:rFonts w:ascii="Times New Roman" w:cs="Times New Roman" w:hAnsi="Times New Roman" w:eastAsia="Times New Roman"/>
          <w:kern w:val="18"/>
          <w:sz w:val="22"/>
          <w:szCs w:val="22"/>
          <w:lang w:val="en-US"/>
        </w:rPr>
      </w:pPr>
      <w:r>
        <w:rPr>
          <w:rFonts w:ascii="Times New Roman" w:hAnsi="Times New Roman"/>
          <w:kern w:val="18"/>
          <w:sz w:val="22"/>
          <w:szCs w:val="22"/>
          <w:rtl w:val="0"/>
          <w:lang w:val="en-US"/>
        </w:rPr>
        <w:t>Increased revenues by expanding Membership to stakeholders involved in the preparation, manufacturing, holding, propagating, dispensing and prescribing of drugs across the globe, and by creating greater awareness and demand of Rx-360</w:t>
      </w:r>
      <w:r>
        <w:rPr>
          <w:rFonts w:ascii="Times New Roman" w:hAnsi="Times New Roman" w:hint="default"/>
          <w:kern w:val="18"/>
          <w:sz w:val="22"/>
          <w:szCs w:val="22"/>
          <w:rtl w:val="0"/>
          <w:lang w:val="en-US"/>
        </w:rPr>
        <w:t>’</w:t>
      </w:r>
      <w:r>
        <w:rPr>
          <w:rFonts w:ascii="Times New Roman" w:hAnsi="Times New Roman"/>
          <w:kern w:val="18"/>
          <w:sz w:val="22"/>
          <w:szCs w:val="22"/>
          <w:rtl w:val="0"/>
          <w:lang w:val="en-US"/>
        </w:rPr>
        <w:t>s unique joint audit program and other work product.</w:t>
      </w:r>
    </w:p>
    <w:p>
      <w:pPr>
        <w:pStyle w:val="Heading 4 A"/>
      </w:pPr>
    </w:p>
    <w:p>
      <w:pPr>
        <w:pStyle w:val="Heading 4 A"/>
        <w:rPr>
          <w:i w:val="1"/>
          <w:iCs w:val="1"/>
          <w:sz w:val="26"/>
          <w:szCs w:val="26"/>
        </w:rPr>
      </w:pPr>
      <w:r>
        <w:rPr>
          <w:rFonts w:cs="Arial Unicode MS" w:eastAsia="Arial Unicode MS"/>
          <w:i w:val="1"/>
          <w:iCs w:val="1"/>
          <w:sz w:val="26"/>
          <w:szCs w:val="26"/>
          <w:rtl w:val="0"/>
          <w:lang w:val="en-US"/>
        </w:rPr>
        <w:t>FDA/Center for Drug Evaluation and Research, Compliance, Silver Spring MD</w:t>
      </w:r>
    </w:p>
    <w:p>
      <w:pPr>
        <w:pStyle w:val="Body A"/>
        <w:rPr>
          <w:rFonts w:ascii="Times New Roman" w:cs="Times New Roman" w:hAnsi="Times New Roman" w:eastAsia="Times New Roman"/>
          <w:i w:val="1"/>
          <w:iCs w:val="1"/>
          <w:lang w:val="en-US"/>
        </w:rPr>
      </w:pPr>
    </w:p>
    <w:p>
      <w:pPr>
        <w:pStyle w:val="Body A"/>
        <w:rPr>
          <w:rFonts w:ascii="Times New Roman" w:cs="Times New Roman" w:hAnsi="Times New Roman" w:eastAsia="Times New Roman"/>
          <w:b w:val="1"/>
          <w:bCs w:val="1"/>
          <w:kern w:val="18"/>
          <w:sz w:val="22"/>
          <w:szCs w:val="22"/>
          <w:lang w:val="en-US"/>
        </w:rPr>
      </w:pPr>
      <w:r>
        <w:rPr>
          <w:rFonts w:ascii="Times New Roman" w:hAnsi="Times New Roman"/>
          <w:b w:val="1"/>
          <w:bCs w:val="1"/>
          <w:kern w:val="18"/>
          <w:sz w:val="22"/>
          <w:szCs w:val="22"/>
          <w:rtl w:val="0"/>
          <w:lang w:val="en-US"/>
        </w:rPr>
        <w:t>Regulatory Counsel</w:t>
        <w:tab/>
        <w:tab/>
        <w:tab/>
        <w:tab/>
        <w:tab/>
        <w:tab/>
        <w:t>September 2011-November 2015</w:t>
      </w:r>
    </w:p>
    <w:p>
      <w:pPr>
        <w:pStyle w:val="Body A"/>
        <w:rPr>
          <w:kern w:val="18"/>
          <w:sz w:val="22"/>
          <w:szCs w:val="22"/>
        </w:rPr>
      </w:pPr>
    </w:p>
    <w:p>
      <w:pPr>
        <w:pStyle w:val="Body A"/>
        <w:numPr>
          <w:ilvl w:val="0"/>
          <w:numId w:val="7"/>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Provided legal and regulatory counsel to the CDER Office of Compliance and Office of Drug Security, Integrity and Response on issues related to globalization and varying international requirements, including integration of DSCSA serialization standards.</w:t>
      </w:r>
    </w:p>
    <w:p>
      <w:pPr>
        <w:pStyle w:val="Body A"/>
        <w:numPr>
          <w:ilvl w:val="0"/>
          <w:numId w:val="9"/>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Served as Project Overseer and Chairperson, Oversight Committee on a major, multinational, private-public partnership in developing global strategies for ensuring medical product quality and supply chain security sponsored by the APEC (Asia Pacific Economic Cooperation) Secretariat in Singapore.</w:t>
      </w:r>
    </w:p>
    <w:p>
      <w:pPr>
        <w:pStyle w:val="Body A"/>
        <w:numPr>
          <w:ilvl w:val="0"/>
          <w:numId w:val="11"/>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Served as FDA representative to the Global Regulatory Curriculum Program for international capacity building.</w:t>
      </w:r>
    </w:p>
    <w:p>
      <w:pPr>
        <w:pStyle w:val="Body A"/>
        <w:numPr>
          <w:ilvl w:val="0"/>
          <w:numId w:val="13"/>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Provided leadership to FDA Office of Compliance in developing and implementing Risk Management Plans for enhancing global supply chain security.</w:t>
      </w:r>
    </w:p>
    <w:p>
      <w:pPr>
        <w:pStyle w:val="Body A"/>
        <w:numPr>
          <w:ilvl w:val="0"/>
          <w:numId w:val="15"/>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FDA Representative to World Health Organization</w:t>
      </w:r>
      <w:r>
        <w:rPr>
          <w:rFonts w:ascii="Times New Roman" w:hAnsi="Times New Roman" w:hint="default"/>
          <w:kern w:val="18"/>
          <w:sz w:val="22"/>
          <w:szCs w:val="22"/>
          <w:rtl w:val="0"/>
          <w:lang w:val="de-DE"/>
        </w:rPr>
        <w:t>’</w:t>
      </w:r>
      <w:r>
        <w:rPr>
          <w:rFonts w:ascii="Times New Roman" w:hAnsi="Times New Roman"/>
          <w:kern w:val="18"/>
          <w:sz w:val="22"/>
          <w:szCs w:val="22"/>
          <w:rtl w:val="0"/>
          <w:lang w:val="de-DE"/>
        </w:rPr>
        <w:t>s Member State Mechanism.</w:t>
      </w:r>
    </w:p>
    <w:p>
      <w:pPr>
        <w:pStyle w:val="Body A"/>
        <w:numPr>
          <w:ilvl w:val="0"/>
          <w:numId w:val="17"/>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Principal Drafter of the Listing Request by FDA in response to EU</w:t>
      </w:r>
      <w:r>
        <w:rPr>
          <w:rFonts w:ascii="Times New Roman" w:hAnsi="Times New Roman" w:hint="default"/>
          <w:kern w:val="18"/>
          <w:sz w:val="22"/>
          <w:szCs w:val="22"/>
          <w:rtl w:val="0"/>
          <w:lang w:val="de-DE"/>
        </w:rPr>
        <w:t>’</w:t>
      </w:r>
      <w:r>
        <w:rPr>
          <w:rFonts w:ascii="Times New Roman" w:hAnsi="Times New Roman"/>
          <w:kern w:val="18"/>
          <w:sz w:val="22"/>
          <w:szCs w:val="22"/>
          <w:rtl w:val="0"/>
          <w:lang w:val="en-US"/>
        </w:rPr>
        <w:t>s Falsified Medicine</w:t>
      </w:r>
      <w:r>
        <w:rPr>
          <w:rFonts w:ascii="Times New Roman" w:hAnsi="Times New Roman" w:hint="default"/>
          <w:kern w:val="18"/>
          <w:sz w:val="22"/>
          <w:szCs w:val="22"/>
          <w:rtl w:val="0"/>
          <w:lang w:val="de-DE"/>
        </w:rPr>
        <w:t>’</w:t>
      </w:r>
      <w:r>
        <w:rPr>
          <w:rFonts w:ascii="Times New Roman" w:hAnsi="Times New Roman"/>
          <w:kern w:val="18"/>
          <w:sz w:val="22"/>
          <w:szCs w:val="22"/>
          <w:rtl w:val="0"/>
          <w:lang w:val="fr-FR"/>
        </w:rPr>
        <w:t xml:space="preserve">s Directive </w:t>
      </w:r>
    </w:p>
    <w:p>
      <w:pPr>
        <w:pStyle w:val="Heading 4 A"/>
        <w:rPr>
          <w:kern w:val="18"/>
        </w:rPr>
      </w:pPr>
    </w:p>
    <w:p>
      <w:pPr>
        <w:pStyle w:val="Heading 4 A"/>
        <w:rPr>
          <w:i w:val="1"/>
          <w:iCs w:val="1"/>
          <w:sz w:val="26"/>
          <w:szCs w:val="26"/>
        </w:rPr>
      </w:pPr>
      <w:r>
        <w:rPr>
          <w:rFonts w:cs="Arial Unicode MS" w:eastAsia="Arial Unicode MS"/>
          <w:i w:val="1"/>
          <w:iCs w:val="1"/>
          <w:sz w:val="26"/>
          <w:szCs w:val="26"/>
          <w:rtl w:val="0"/>
          <w:lang w:val="en-US"/>
        </w:rPr>
        <w:t>Pharmaceutical Research and Manufacturers of America (PhRMA), Washington, DC</w:t>
      </w:r>
    </w:p>
    <w:p>
      <w:pPr>
        <w:pStyle w:val="Heading 4 A"/>
        <w:rPr>
          <w:i w:val="1"/>
          <w:iCs w:val="1"/>
        </w:rPr>
      </w:pPr>
    </w:p>
    <w:p>
      <w:pPr>
        <w:pStyle w:val="Heading 4 A"/>
        <w:rPr>
          <w:b w:val="0"/>
          <w:bCs w:val="0"/>
        </w:rPr>
      </w:pPr>
      <w:r>
        <w:rPr>
          <w:rFonts w:cs="Arial Unicode MS" w:eastAsia="Arial Unicode MS"/>
          <w:rtl w:val="0"/>
          <w:lang w:val="en-US"/>
        </w:rPr>
        <w:t>Associate Vice-President, Scientific and Regulatory Affairs</w:t>
        <w:tab/>
        <w:t>January 2010-May 2011</w:t>
      </w:r>
    </w:p>
    <w:p>
      <w:pPr>
        <w:pStyle w:val="Body A"/>
        <w:rPr>
          <w:rFonts w:ascii="Times New Roman" w:cs="Times New Roman" w:hAnsi="Times New Roman" w:eastAsia="Times New Roman"/>
          <w:sz w:val="22"/>
          <w:szCs w:val="22"/>
          <w:lang w:val="en-US"/>
        </w:rPr>
      </w:pPr>
      <w:r>
        <w:rPr>
          <w:rFonts w:ascii="Times New Roman" w:hAnsi="Times New Roman"/>
          <w:sz w:val="22"/>
          <w:szCs w:val="22"/>
          <w:rtl w:val="0"/>
          <w:lang w:val="en-US"/>
        </w:rPr>
        <w:t>Led PhRMA member company representatives on electronic and IT-related regulatory initiatives, including evaluation and recommendations for electronic pedigree systems, electronic labeling, and mitigating medication errors. Highlights include:</w:t>
      </w:r>
    </w:p>
    <w:p>
      <w:pPr>
        <w:pStyle w:val="Body A"/>
        <w:rPr>
          <w:rFonts w:ascii="Times New Roman" w:cs="Times New Roman" w:hAnsi="Times New Roman" w:eastAsia="Times New Roman"/>
          <w:sz w:val="22"/>
          <w:szCs w:val="22"/>
        </w:rPr>
      </w:pPr>
    </w:p>
    <w:p>
      <w:pPr>
        <w:pStyle w:val="Body A"/>
        <w:numPr>
          <w:ilvl w:val="0"/>
          <w:numId w:val="19"/>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 xml:space="preserve">Founder of a broad, multi-sector consortium comprised of manufacturers, wholesalers and pharmacies (also including their trade associations, e.g., HDMA, ASHP, NCPA, NACDS) to develop a technological pathway for serialization and e-pedigree implementation. </w:t>
      </w:r>
    </w:p>
    <w:p>
      <w:pPr>
        <w:pStyle w:val="Body A"/>
        <w:numPr>
          <w:ilvl w:val="0"/>
          <w:numId w:val="21"/>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Worked with industry leaders to support US FDA on implementing and validating electronic regulatory submissions covering submissions to CDER, DDMAC, and other offices within FDA, and to work with data standard setting organizations to ensure optimal integration with Electronic Health.</w:t>
      </w:r>
    </w:p>
    <w:p>
      <w:pPr>
        <w:pStyle w:val="Heading 4 A"/>
      </w:pPr>
    </w:p>
    <w:p>
      <w:pPr>
        <w:pStyle w:val="Heading 4 A"/>
        <w:rPr>
          <w:i w:val="1"/>
          <w:iCs w:val="1"/>
        </w:rPr>
      </w:pPr>
      <w:r>
        <w:rPr>
          <w:rFonts w:cs="Arial Unicode MS" w:eastAsia="Arial Unicode MS"/>
          <w:rtl w:val="0"/>
          <w:lang w:val="en-US"/>
        </w:rPr>
        <w:t>Associate Vice-President, International Regulatory Affairs</w:t>
        <w:tab/>
        <w:t>July 2006-January 2010</w:t>
      </w:r>
    </w:p>
    <w:p>
      <w:pPr>
        <w:pStyle w:val="Body A"/>
        <w:rPr>
          <w:rFonts w:ascii="Times New Roman" w:cs="Times New Roman" w:hAnsi="Times New Roman" w:eastAsia="Times New Roman"/>
          <w:kern w:val="18"/>
          <w:sz w:val="22"/>
          <w:szCs w:val="22"/>
          <w:lang w:val="en-US"/>
        </w:rPr>
      </w:pPr>
      <w:r>
        <w:rPr>
          <w:rFonts w:ascii="Times New Roman" w:hAnsi="Times New Roman"/>
          <w:kern w:val="18"/>
          <w:sz w:val="22"/>
          <w:szCs w:val="22"/>
          <w:rtl w:val="0"/>
          <w:lang w:val="en-US"/>
        </w:rPr>
        <w:t xml:space="preserve">Serve as the primary industry representative responsible for establishing global regulatory priorities. Work with executive level (VP and SVP) company regulatory leaders on a number of regulatory and technical committees to develop and implement global regulatory strategies. </w:t>
      </w:r>
    </w:p>
    <w:p>
      <w:pPr>
        <w:pStyle w:val="Body A"/>
        <w:rPr>
          <w:rFonts w:ascii="Times New Roman" w:cs="Times New Roman" w:hAnsi="Times New Roman" w:eastAsia="Times New Roman"/>
          <w:kern w:val="18"/>
          <w:sz w:val="22"/>
          <w:szCs w:val="22"/>
        </w:rPr>
      </w:pPr>
    </w:p>
    <w:p>
      <w:pPr>
        <w:pStyle w:val="Body A"/>
        <w:numPr>
          <w:ilvl w:val="0"/>
          <w:numId w:val="23"/>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Established and led PhRMA</w:t>
      </w:r>
      <w:r>
        <w:rPr>
          <w:rFonts w:ascii="Times New Roman" w:hAnsi="Times New Roman" w:hint="default"/>
          <w:kern w:val="18"/>
          <w:sz w:val="22"/>
          <w:szCs w:val="22"/>
          <w:rtl w:val="0"/>
          <w:lang w:val="en-US"/>
        </w:rPr>
        <w:t>’</w:t>
      </w:r>
      <w:r>
        <w:rPr>
          <w:rFonts w:ascii="Times New Roman" w:hAnsi="Times New Roman"/>
          <w:kern w:val="18"/>
          <w:sz w:val="22"/>
          <w:szCs w:val="22"/>
          <w:rtl w:val="0"/>
          <w:lang w:val="en-US"/>
        </w:rPr>
        <w:t xml:space="preserve">s Simultaneous Global Development (SGD) Committee which was comprised of Global Regulatory and Clinical Heads of PhRMA member companies. </w:t>
      </w:r>
    </w:p>
    <w:p>
      <w:pPr>
        <w:pStyle w:val="Body A"/>
        <w:numPr>
          <w:ilvl w:val="0"/>
          <w:numId w:val="25"/>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 xml:space="preserve">Led SGD in interactions with SFDA (China), TFDA (Taiwan), PMDA (Japan), and KFDA (Korea) resulting in several major collaborations covering pre-clinical, clinical, manufacturing/CMC and compliance (GLP, GCP, and cGMP) policy changes in the East Asia region. </w:t>
      </w:r>
    </w:p>
    <w:p>
      <w:pPr>
        <w:pStyle w:val="Body A"/>
        <w:numPr>
          <w:ilvl w:val="1"/>
          <w:numId w:val="27"/>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SGD advocacy directly led to the creation of the APEC Multi-Regional Clinical Trial (MRCT) framework, and resulted in review changes to supplemental NDAs at PMDA, forthcoming changes to China</w:t>
      </w:r>
      <w:r>
        <w:rPr>
          <w:rFonts w:ascii="Courier" w:hAnsi="Courier" w:hint="default"/>
          <w:kern w:val="18"/>
          <w:sz w:val="22"/>
          <w:szCs w:val="22"/>
          <w:rtl w:val="0"/>
          <w:lang w:val="de-DE"/>
        </w:rPr>
        <w:t>’</w:t>
      </w:r>
      <w:r>
        <w:rPr>
          <w:rFonts w:ascii="Times New Roman" w:hAnsi="Times New Roman"/>
          <w:kern w:val="18"/>
          <w:sz w:val="22"/>
          <w:szCs w:val="22"/>
          <w:rtl w:val="0"/>
          <w:lang w:val="en-US"/>
        </w:rPr>
        <w:t>s Drug Administration Law, and reduced IND/CTA review timelines in Korea.</w:t>
      </w:r>
    </w:p>
    <w:p>
      <w:pPr>
        <w:pStyle w:val="Body A"/>
        <w:tabs>
          <w:tab w:val="left" w:pos="180"/>
          <w:tab w:val="left" w:pos="556"/>
        </w:tabs>
        <w:rPr>
          <w:rFonts w:ascii="Times New Roman" w:cs="Times New Roman" w:hAnsi="Times New Roman" w:eastAsia="Times New Roman"/>
          <w:kern w:val="18"/>
        </w:rPr>
      </w:pPr>
    </w:p>
    <w:p>
      <w:pPr>
        <w:pStyle w:val="Body A"/>
        <w:numPr>
          <w:ilvl w:val="0"/>
          <w:numId w:val="29"/>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Established and led five (5) regional regulatory committees for SGD implementation.</w:t>
      </w:r>
    </w:p>
    <w:p>
      <w:pPr>
        <w:pStyle w:val="Body A"/>
        <w:numPr>
          <w:ilvl w:val="0"/>
          <w:numId w:val="31"/>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Serve as PhRMA</w:t>
      </w:r>
      <w:r>
        <w:rPr>
          <w:rFonts w:ascii="Courier" w:hAnsi="Courier" w:hint="default"/>
          <w:kern w:val="18"/>
          <w:sz w:val="22"/>
          <w:szCs w:val="22"/>
          <w:rtl w:val="0"/>
          <w:lang w:val="de-DE"/>
        </w:rPr>
        <w:t>’</w:t>
      </w:r>
      <w:r>
        <w:rPr>
          <w:rFonts w:ascii="Times New Roman" w:hAnsi="Times New Roman"/>
          <w:kern w:val="18"/>
          <w:sz w:val="22"/>
          <w:szCs w:val="22"/>
          <w:rtl w:val="0"/>
          <w:lang w:val="en-US"/>
        </w:rPr>
        <w:t>s international regulatory liaison to US Government Agencies and international organizations, including:</w:t>
      </w:r>
    </w:p>
    <w:p>
      <w:pPr>
        <w:pStyle w:val="Body A"/>
        <w:numPr>
          <w:ilvl w:val="1"/>
          <w:numId w:val="33"/>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HHS; US FDA (global and regional harmonization initiatives)</w:t>
      </w:r>
      <w:r>
        <w:rPr>
          <w:rFonts w:ascii="Times New Roman" w:hAnsi="Times New Roman"/>
          <w:kern w:val="18"/>
          <w:sz w:val="24"/>
          <w:szCs w:val="24"/>
          <w:rtl w:val="0"/>
          <w:lang w:val="de-DE"/>
        </w:rPr>
        <w:t xml:space="preserve">; </w:t>
      </w:r>
      <w:r>
        <w:rPr>
          <w:rFonts w:ascii="Times New Roman" w:hAnsi="Times New Roman"/>
          <w:kern w:val="18"/>
          <w:sz w:val="22"/>
          <w:szCs w:val="22"/>
          <w:rtl w:val="0"/>
          <w:lang w:val="en-US"/>
        </w:rPr>
        <w:t xml:space="preserve">Department of Commerce (Joint Commission on Commerce and Trade </w:t>
      </w:r>
      <w:r>
        <w:rPr>
          <w:rFonts w:ascii="Courier" w:hAnsi="Courier" w:hint="default"/>
          <w:kern w:val="18"/>
          <w:sz w:val="22"/>
          <w:szCs w:val="22"/>
          <w:rtl w:val="0"/>
          <w:lang w:val="de-DE"/>
        </w:rPr>
        <w:t xml:space="preserve">– </w:t>
      </w:r>
      <w:r>
        <w:rPr>
          <w:rFonts w:ascii="Times New Roman" w:hAnsi="Times New Roman"/>
          <w:kern w:val="18"/>
          <w:sz w:val="22"/>
          <w:szCs w:val="22"/>
          <w:rtl w:val="0"/>
          <w:lang w:val="en-US"/>
        </w:rPr>
        <w:t>China/US, MOSS dialog with Japan, TransAtlantic Administrative Simplification between EMA, FDA and the EU)</w:t>
      </w:r>
      <w:r>
        <w:rPr>
          <w:rFonts w:ascii="Times New Roman" w:hAnsi="Times New Roman"/>
          <w:kern w:val="18"/>
          <w:sz w:val="24"/>
          <w:szCs w:val="24"/>
          <w:rtl w:val="0"/>
          <w:lang w:val="de-DE"/>
        </w:rPr>
        <w:t xml:space="preserve">; </w:t>
      </w:r>
      <w:r>
        <w:rPr>
          <w:rFonts w:ascii="Times New Roman" w:hAnsi="Times New Roman"/>
          <w:kern w:val="18"/>
          <w:sz w:val="22"/>
          <w:szCs w:val="22"/>
          <w:rtl w:val="0"/>
          <w:lang w:val="en-US"/>
        </w:rPr>
        <w:t xml:space="preserve">US State Department (APEC, India, and China) </w:t>
      </w:r>
      <w:r>
        <w:rPr>
          <w:rFonts w:ascii="Times New Roman" w:hAnsi="Times New Roman"/>
          <w:kern w:val="18"/>
          <w:sz w:val="24"/>
          <w:szCs w:val="24"/>
          <w:rtl w:val="0"/>
          <w:lang w:val="de-DE"/>
        </w:rPr>
        <w:t xml:space="preserve">; </w:t>
      </w:r>
      <w:r>
        <w:rPr>
          <w:rFonts w:ascii="Times New Roman" w:hAnsi="Times New Roman"/>
          <w:kern w:val="18"/>
          <w:sz w:val="22"/>
          <w:szCs w:val="22"/>
          <w:rtl w:val="0"/>
          <w:lang w:val="en-US"/>
        </w:rPr>
        <w:t xml:space="preserve">US Trade Representatives Office (including the Life Science Innovation Forum of the Asia-Pacific Economic Cooperative, or </w:t>
      </w:r>
      <w:r>
        <w:rPr>
          <w:rFonts w:ascii="Courier" w:hAnsi="Courier" w:hint="default"/>
          <w:kern w:val="18"/>
          <w:sz w:val="22"/>
          <w:szCs w:val="22"/>
          <w:rtl w:val="0"/>
          <w:lang w:val="de-DE"/>
        </w:rPr>
        <w:t>“</w:t>
      </w:r>
      <w:r>
        <w:rPr>
          <w:rFonts w:ascii="Times New Roman" w:hAnsi="Times New Roman"/>
          <w:kern w:val="18"/>
          <w:sz w:val="22"/>
          <w:szCs w:val="22"/>
          <w:rtl w:val="0"/>
          <w:lang w:val="nl-NL"/>
        </w:rPr>
        <w:t>APEC LSIF</w:t>
      </w:r>
      <w:r>
        <w:rPr>
          <w:rFonts w:ascii="Courier" w:hAnsi="Courier" w:hint="default"/>
          <w:kern w:val="18"/>
          <w:sz w:val="22"/>
          <w:szCs w:val="22"/>
          <w:rtl w:val="0"/>
          <w:lang w:val="de-DE"/>
        </w:rPr>
        <w:t>”</w:t>
      </w:r>
      <w:r>
        <w:rPr>
          <w:rFonts w:ascii="Times New Roman" w:hAnsi="Times New Roman"/>
          <w:kern w:val="18"/>
          <w:sz w:val="22"/>
          <w:szCs w:val="22"/>
          <w:rtl w:val="0"/>
          <w:lang w:val="de-DE"/>
        </w:rPr>
        <w:t>)</w:t>
      </w:r>
    </w:p>
    <w:p>
      <w:pPr>
        <w:pStyle w:val="Body A"/>
        <w:numPr>
          <w:ilvl w:val="1"/>
          <w:numId w:val="35"/>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Numerous international R&amp;D based industry organizations including International Federation of Pharmaceutical Manufacturers Association (</w:t>
      </w:r>
      <w:r>
        <w:rPr>
          <w:rFonts w:ascii="Courier" w:hAnsi="Courier" w:hint="default"/>
          <w:kern w:val="18"/>
          <w:sz w:val="22"/>
          <w:szCs w:val="22"/>
          <w:rtl w:val="0"/>
          <w:lang w:val="de-DE"/>
        </w:rPr>
        <w:t>“</w:t>
      </w:r>
      <w:r>
        <w:rPr>
          <w:rFonts w:ascii="Times New Roman" w:hAnsi="Times New Roman"/>
          <w:kern w:val="18"/>
          <w:sz w:val="22"/>
          <w:szCs w:val="22"/>
          <w:rtl w:val="0"/>
          <w:lang w:val="pt-PT"/>
        </w:rPr>
        <w:t>IFPMA</w:t>
      </w:r>
      <w:r>
        <w:rPr>
          <w:rFonts w:ascii="Courier" w:hAnsi="Courier" w:hint="default"/>
          <w:kern w:val="18"/>
          <w:sz w:val="22"/>
          <w:szCs w:val="22"/>
          <w:rtl w:val="0"/>
          <w:lang w:val="de-DE"/>
        </w:rPr>
        <w:t>”</w:t>
      </w:r>
      <w:r>
        <w:rPr>
          <w:rFonts w:ascii="Times New Roman" w:hAnsi="Times New Roman"/>
          <w:kern w:val="18"/>
          <w:sz w:val="22"/>
          <w:szCs w:val="22"/>
          <w:rtl w:val="0"/>
          <w:lang w:val="en-US"/>
        </w:rPr>
        <w:t>); European Federation of Pharmaceutical Industries and Associations (</w:t>
      </w:r>
      <w:r>
        <w:rPr>
          <w:rFonts w:ascii="Courier" w:hAnsi="Courier" w:hint="default"/>
          <w:kern w:val="18"/>
          <w:sz w:val="22"/>
          <w:szCs w:val="22"/>
          <w:rtl w:val="0"/>
          <w:lang w:val="de-DE"/>
        </w:rPr>
        <w:t>“</w:t>
      </w:r>
      <w:r>
        <w:rPr>
          <w:rFonts w:ascii="Times New Roman" w:hAnsi="Times New Roman"/>
          <w:kern w:val="18"/>
          <w:sz w:val="22"/>
          <w:szCs w:val="22"/>
          <w:rtl w:val="0"/>
          <w:lang w:val="de-DE"/>
        </w:rPr>
        <w:t>EFPIA</w:t>
      </w:r>
      <w:r>
        <w:rPr>
          <w:rFonts w:ascii="Courier" w:hAnsi="Courier" w:hint="default"/>
          <w:kern w:val="18"/>
          <w:sz w:val="22"/>
          <w:szCs w:val="22"/>
          <w:rtl w:val="0"/>
          <w:lang w:val="de-DE"/>
        </w:rPr>
        <w:t>”</w:t>
      </w:r>
      <w:r>
        <w:rPr>
          <w:rFonts w:ascii="Times New Roman" w:hAnsi="Times New Roman"/>
          <w:kern w:val="18"/>
          <w:sz w:val="22"/>
          <w:szCs w:val="22"/>
          <w:rtl w:val="0"/>
          <w:lang w:val="en-US"/>
        </w:rPr>
        <w:t>), Brussels, Belgium; and R&amp;D-based Pharmaceutical Association Committee (</w:t>
      </w:r>
      <w:r>
        <w:rPr>
          <w:rFonts w:ascii="Courier" w:hAnsi="Courier" w:hint="default"/>
          <w:kern w:val="18"/>
          <w:sz w:val="22"/>
          <w:szCs w:val="22"/>
          <w:rtl w:val="0"/>
          <w:lang w:val="de-DE"/>
        </w:rPr>
        <w:t>“</w:t>
      </w:r>
      <w:r>
        <w:rPr>
          <w:rFonts w:ascii="Times New Roman" w:hAnsi="Times New Roman"/>
          <w:kern w:val="18"/>
          <w:sz w:val="22"/>
          <w:szCs w:val="22"/>
          <w:rtl w:val="0"/>
          <w:lang w:val="pt-PT"/>
        </w:rPr>
        <w:t>RDPAC</w:t>
      </w:r>
      <w:r>
        <w:rPr>
          <w:rFonts w:ascii="Courier" w:hAnsi="Courier" w:hint="default"/>
          <w:kern w:val="18"/>
          <w:sz w:val="22"/>
          <w:szCs w:val="22"/>
          <w:rtl w:val="0"/>
          <w:lang w:val="de-DE"/>
        </w:rPr>
        <w:t>”</w:t>
      </w:r>
      <w:r>
        <w:rPr>
          <w:rFonts w:ascii="Times New Roman" w:hAnsi="Times New Roman"/>
          <w:kern w:val="18"/>
          <w:sz w:val="22"/>
          <w:szCs w:val="22"/>
          <w:rtl w:val="0"/>
          <w:lang w:val="de-DE"/>
        </w:rPr>
        <w:t xml:space="preserve">), Beijing, China. </w:t>
      </w:r>
    </w:p>
    <w:p>
      <w:pPr>
        <w:pStyle w:val="Body A"/>
        <w:numPr>
          <w:ilvl w:val="1"/>
          <w:numId w:val="37"/>
        </w:numPr>
        <w:bidi w:val="0"/>
        <w:ind w:right="0"/>
        <w:jc w:val="left"/>
        <w:rPr>
          <w:rFonts w:ascii="Times New Roman" w:hAnsi="Times New Roman"/>
          <w:sz w:val="22"/>
          <w:szCs w:val="22"/>
          <w:rtl w:val="0"/>
          <w:lang w:val="en-US"/>
        </w:rPr>
      </w:pPr>
      <w:r>
        <w:rPr>
          <w:rFonts w:ascii="Times New Roman" w:hAnsi="Times New Roman"/>
          <w:kern w:val="18"/>
          <w:sz w:val="22"/>
          <w:szCs w:val="22"/>
          <w:rtl w:val="0"/>
          <w:lang w:val="en-US"/>
        </w:rPr>
        <w:t xml:space="preserve">Primary regulatory liaison to PhRMA international business committees. </w:t>
      </w:r>
    </w:p>
    <w:p>
      <w:pPr>
        <w:pStyle w:val="Body A"/>
        <w:rPr>
          <w:rFonts w:ascii="Times New Roman" w:cs="Times New Roman" w:hAnsi="Times New Roman" w:eastAsia="Times New Roman"/>
          <w:kern w:val="18"/>
          <w:sz w:val="22"/>
          <w:szCs w:val="22"/>
          <w:lang w:val="en-US"/>
        </w:rPr>
      </w:pPr>
    </w:p>
    <w:p>
      <w:pPr>
        <w:pStyle w:val="Body A"/>
        <w:tabs>
          <w:tab w:val="left" w:pos="196"/>
          <w:tab w:val="left" w:pos="720"/>
        </w:tabs>
        <w:rPr>
          <w:rFonts w:ascii="Times New Roman" w:cs="Times New Roman" w:hAnsi="Times New Roman" w:eastAsia="Times New Roman"/>
          <w:kern w:val="18"/>
          <w:lang w:val="en-US"/>
        </w:rPr>
      </w:pPr>
    </w:p>
    <w:p>
      <w:pPr>
        <w:pStyle w:val="Body A"/>
        <w:tabs>
          <w:tab w:val="left" w:pos="196"/>
          <w:tab w:val="left" w:pos="720"/>
        </w:tabs>
        <w:rPr>
          <w:rFonts w:ascii="Times New Roman" w:cs="Times New Roman" w:hAnsi="Times New Roman" w:eastAsia="Times New Roman"/>
          <w:b w:val="1"/>
          <w:bCs w:val="1"/>
          <w:kern w:val="18"/>
          <w:sz w:val="22"/>
          <w:szCs w:val="22"/>
          <w:u w:val="single"/>
          <w:lang w:val="en-US"/>
        </w:rPr>
      </w:pPr>
      <w:r>
        <w:rPr>
          <w:rFonts w:ascii="Times New Roman" w:hAnsi="Times New Roman"/>
          <w:b w:val="1"/>
          <w:bCs w:val="1"/>
          <w:kern w:val="18"/>
          <w:sz w:val="22"/>
          <w:szCs w:val="22"/>
          <w:u w:val="single"/>
          <w:rtl w:val="0"/>
          <w:lang w:val="en-US"/>
        </w:rPr>
        <w:t>Related Activities</w:t>
      </w:r>
    </w:p>
    <w:p>
      <w:pPr>
        <w:pStyle w:val="Body A"/>
        <w:tabs>
          <w:tab w:val="left" w:pos="196"/>
          <w:tab w:val="left" w:pos="720"/>
        </w:tabs>
        <w:rPr>
          <w:rFonts w:ascii="Times New Roman" w:cs="Times New Roman" w:hAnsi="Times New Roman" w:eastAsia="Times New Roman"/>
          <w:b w:val="1"/>
          <w:bCs w:val="1"/>
          <w:kern w:val="18"/>
          <w:sz w:val="22"/>
          <w:szCs w:val="22"/>
          <w:u w:val="single"/>
          <w:lang w:val="en-US"/>
        </w:rPr>
      </w:pPr>
    </w:p>
    <w:p>
      <w:pPr>
        <w:pStyle w:val="Body A"/>
        <w:numPr>
          <w:ilvl w:val="0"/>
          <w:numId w:val="39"/>
        </w:numPr>
        <w:bidi w:val="0"/>
        <w:ind w:right="0"/>
        <w:jc w:val="left"/>
        <w:rPr>
          <w:rFonts w:ascii="Times New Roman" w:hAnsi="Times New Roman"/>
          <w:b w:val="1"/>
          <w:bCs w:val="1"/>
          <w:sz w:val="22"/>
          <w:szCs w:val="22"/>
          <w:rtl w:val="0"/>
          <w:lang w:val="en-US"/>
        </w:rPr>
      </w:pPr>
      <w:r>
        <w:rPr>
          <w:rFonts w:ascii="Times New Roman" w:hAnsi="Times New Roman"/>
          <w:b w:val="1"/>
          <w:bCs w:val="1"/>
          <w:kern w:val="18"/>
          <w:sz w:val="22"/>
          <w:szCs w:val="22"/>
          <w:rtl w:val="0"/>
          <w:lang w:val="en-US"/>
        </w:rPr>
        <w:t>World Korean Medical Organization, Co-General Counsel                                           2014 - 2015</w:t>
      </w:r>
    </w:p>
    <w:p>
      <w:pPr>
        <w:pStyle w:val="Body A"/>
        <w:numPr>
          <w:ilvl w:val="0"/>
          <w:numId w:val="41"/>
        </w:numPr>
        <w:bidi w:val="0"/>
        <w:ind w:right="0"/>
        <w:jc w:val="left"/>
        <w:rPr>
          <w:rFonts w:ascii="Times New Roman" w:hAnsi="Times New Roman"/>
          <w:b w:val="1"/>
          <w:bCs w:val="1"/>
          <w:sz w:val="22"/>
          <w:szCs w:val="22"/>
          <w:rtl w:val="0"/>
          <w:lang w:val="en-US"/>
        </w:rPr>
      </w:pPr>
      <w:r>
        <w:rPr>
          <w:rFonts w:ascii="Times New Roman" w:hAnsi="Times New Roman"/>
          <w:b w:val="1"/>
          <w:bCs w:val="1"/>
          <w:kern w:val="18"/>
          <w:sz w:val="22"/>
          <w:szCs w:val="22"/>
          <w:rtl w:val="0"/>
          <w:lang w:val="en-US"/>
        </w:rPr>
        <w:t>APEC Harmonization Center</w:t>
      </w:r>
      <w:r>
        <w:rPr>
          <w:rFonts w:ascii="Times New Roman" w:hAnsi="Times New Roman"/>
          <w:b w:val="1"/>
          <w:bCs w:val="1"/>
          <w:kern w:val="18"/>
          <w:sz w:val="22"/>
          <w:szCs w:val="22"/>
          <w:rtl w:val="0"/>
          <w:lang w:val="de-DE"/>
        </w:rPr>
        <w:t xml:space="preserve"> (Seoul, Korea), Advisory Board Member             </w:t>
      </w:r>
      <w:r>
        <w:rPr>
          <w:rFonts w:ascii="Times New Roman" w:hAnsi="Times New Roman"/>
          <w:b w:val="1"/>
          <w:bCs w:val="1"/>
          <w:kern w:val="18"/>
          <w:sz w:val="22"/>
          <w:szCs w:val="22"/>
          <w:rtl w:val="0"/>
          <w:lang w:val="en-US"/>
        </w:rPr>
        <w:t xml:space="preserve">        </w:t>
      </w:r>
      <w:r>
        <w:rPr>
          <w:rFonts w:ascii="Times New Roman" w:hAnsi="Times New Roman"/>
          <w:b w:val="1"/>
          <w:bCs w:val="1"/>
          <w:kern w:val="18"/>
          <w:sz w:val="22"/>
          <w:szCs w:val="22"/>
          <w:rtl w:val="0"/>
          <w:lang w:val="de-DE"/>
        </w:rPr>
        <w:t xml:space="preserve">2011 - </w:t>
      </w:r>
      <w:r>
        <w:rPr>
          <w:rFonts w:ascii="Times New Roman" w:hAnsi="Times New Roman"/>
          <w:b w:val="1"/>
          <w:bCs w:val="1"/>
          <w:kern w:val="18"/>
          <w:sz w:val="22"/>
          <w:szCs w:val="22"/>
          <w:rtl w:val="0"/>
          <w:lang w:val="en-US"/>
        </w:rPr>
        <w:t>2020</w:t>
      </w:r>
    </w:p>
    <w:p>
      <w:pPr>
        <w:pStyle w:val="Body A"/>
        <w:numPr>
          <w:ilvl w:val="0"/>
          <w:numId w:val="41"/>
        </w:numPr>
        <w:bidi w:val="0"/>
        <w:ind w:right="0"/>
        <w:jc w:val="left"/>
        <w:rPr>
          <w:rFonts w:ascii="Times New Roman" w:hAnsi="Times New Roman"/>
          <w:b w:val="1"/>
          <w:bCs w:val="1"/>
          <w:sz w:val="22"/>
          <w:szCs w:val="22"/>
          <w:rtl w:val="0"/>
          <w:lang w:val="en-US"/>
        </w:rPr>
      </w:pPr>
      <w:r>
        <w:rPr>
          <w:rFonts w:ascii="Times New Roman" w:hAnsi="Times New Roman"/>
          <w:b w:val="1"/>
          <w:bCs w:val="1"/>
          <w:kern w:val="18"/>
          <w:sz w:val="22"/>
          <w:szCs w:val="22"/>
          <w:rtl w:val="0"/>
          <w:lang w:val="en-US"/>
        </w:rPr>
        <w:t>Regulatory Affairs Professional Society, Annual Planning Committee Member      (3 year term)</w:t>
      </w:r>
    </w:p>
    <w:p>
      <w:pPr>
        <w:pStyle w:val="Body A"/>
        <w:tabs>
          <w:tab w:val="left" w:pos="720"/>
        </w:tabs>
        <w:rPr>
          <w:rFonts w:ascii="Times New Roman" w:cs="Times New Roman" w:hAnsi="Times New Roman" w:eastAsia="Times New Roman"/>
          <w:b w:val="1"/>
          <w:bCs w:val="1"/>
          <w:kern w:val="18"/>
          <w:sz w:val="22"/>
          <w:szCs w:val="22"/>
          <w:lang w:val="en-US"/>
        </w:rPr>
      </w:pPr>
    </w:p>
    <w:p>
      <w:pPr>
        <w:pStyle w:val="Body A"/>
        <w:tabs>
          <w:tab w:val="left" w:pos="720"/>
        </w:tabs>
        <w:rPr>
          <w:rFonts w:ascii="Times New Roman" w:cs="Times New Roman" w:hAnsi="Times New Roman" w:eastAsia="Times New Roman"/>
          <w:b w:val="1"/>
          <w:bCs w:val="1"/>
          <w:sz w:val="22"/>
          <w:szCs w:val="22"/>
          <w:lang w:val="en-US"/>
        </w:rPr>
      </w:pPr>
      <w:r>
        <w:rPr>
          <w:rFonts w:ascii="Times New Roman" w:hAnsi="Times New Roman"/>
          <w:b w:val="1"/>
          <w:bCs w:val="1"/>
          <w:sz w:val="22"/>
          <w:szCs w:val="22"/>
          <w:rtl w:val="0"/>
          <w:lang w:val="en-US"/>
        </w:rPr>
        <w:t>Private Practice/Consultant, Lexington, KY</w:t>
        <w:tab/>
        <w:tab/>
        <w:tab/>
        <w:tab/>
        <w:tab/>
        <w:tab/>
        <w:t>2004</w:t>
      </w:r>
      <w:r>
        <w:rPr>
          <w:rFonts w:ascii="Times New Roman" w:hAnsi="Times New Roman" w:hint="default"/>
          <w:sz w:val="22"/>
          <w:szCs w:val="22"/>
          <w:rtl w:val="0"/>
          <w:lang w:val="en-US"/>
        </w:rPr>
        <w:t>–</w:t>
      </w:r>
      <w:r>
        <w:rPr>
          <w:rFonts w:ascii="Times New Roman" w:hAnsi="Times New Roman"/>
          <w:b w:val="1"/>
          <w:bCs w:val="1"/>
          <w:sz w:val="22"/>
          <w:szCs w:val="22"/>
          <w:rtl w:val="0"/>
          <w:lang w:val="en-US"/>
        </w:rPr>
        <w:t>2006</w:t>
      </w:r>
      <w:r>
        <w:rPr>
          <w:rFonts w:ascii="Times New Roman" w:hAnsi="Times New Roman"/>
          <w:b w:val="1"/>
          <w:bCs w:val="1"/>
          <w:sz w:val="22"/>
          <w:szCs w:val="22"/>
          <w:rtl w:val="0"/>
          <w:lang w:val="en-US"/>
        </w:rPr>
        <w:t xml:space="preserve">    Adv</w:t>
      </w:r>
      <w:r>
        <w:rPr>
          <w:rFonts w:ascii="Times New Roman" w:hAnsi="Times New Roman"/>
          <w:b w:val="1"/>
          <w:bCs w:val="1"/>
          <w:sz w:val="22"/>
          <w:szCs w:val="22"/>
          <w:rtl w:val="0"/>
          <w:lang w:val="en-US"/>
        </w:rPr>
        <w:t>isory Board Member and Regulatory Counsel, University of Kentucky College of Pharmacy</w:t>
      </w:r>
    </w:p>
    <w:p>
      <w:pPr>
        <w:pStyle w:val="Body A"/>
        <w:spacing w:line="244" w:lineRule="auto"/>
        <w:rPr>
          <w:rFonts w:ascii="Times New Roman" w:cs="Times New Roman" w:hAnsi="Times New Roman" w:eastAsia="Times New Roman"/>
          <w:kern w:val="18"/>
          <w:sz w:val="22"/>
          <w:szCs w:val="22"/>
        </w:rPr>
      </w:pPr>
      <w:r>
        <w:rPr>
          <w:rFonts w:ascii="Times New Roman" w:hAnsi="Times New Roman"/>
          <w:b w:val="1"/>
          <w:bCs w:val="1"/>
          <w:kern w:val="18"/>
          <w:sz w:val="22"/>
          <w:szCs w:val="22"/>
          <w:rtl w:val="0"/>
          <w:lang w:val="en-US"/>
        </w:rPr>
        <w:t>Murty Pharmaceuticals, Inc.,</w:t>
      </w:r>
      <w:r>
        <w:rPr>
          <w:rFonts w:ascii="Times New Roman" w:hAnsi="Times New Roman"/>
          <w:kern w:val="18"/>
          <w:sz w:val="22"/>
          <w:szCs w:val="22"/>
          <w:rtl w:val="0"/>
          <w:lang w:val="de-DE"/>
        </w:rPr>
        <w:t xml:space="preserve"> </w:t>
      </w:r>
      <w:r>
        <w:rPr>
          <w:rFonts w:ascii="Times New Roman" w:hAnsi="Times New Roman"/>
          <w:b w:val="1"/>
          <w:bCs w:val="1"/>
          <w:kern w:val="18"/>
          <w:sz w:val="22"/>
          <w:szCs w:val="22"/>
          <w:rtl w:val="0"/>
          <w:lang w:val="en-US"/>
        </w:rPr>
        <w:t>Lexington, Kentucky</w:t>
      </w:r>
      <w:r>
        <w:rPr>
          <w:rFonts w:ascii="Times New Roman" w:hAnsi="Times New Roman"/>
          <w:kern w:val="18"/>
          <w:sz w:val="22"/>
          <w:szCs w:val="22"/>
          <w:rtl w:val="0"/>
          <w:lang w:val="de-DE"/>
        </w:rPr>
        <w:t xml:space="preserve">                                   </w:t>
        <w:tab/>
        <w:tab/>
      </w:r>
      <w:r>
        <w:rPr>
          <w:rFonts w:ascii="Times New Roman" w:hAnsi="Times New Roman"/>
          <w:b w:val="1"/>
          <w:bCs w:val="1"/>
          <w:kern w:val="18"/>
          <w:sz w:val="22"/>
          <w:szCs w:val="22"/>
          <w:rtl w:val="0"/>
          <w:lang w:val="de-DE"/>
        </w:rPr>
        <w:t>2001-2004</w:t>
      </w:r>
    </w:p>
    <w:p>
      <w:pPr>
        <w:pStyle w:val="Body A"/>
        <w:spacing w:line="244" w:lineRule="auto"/>
        <w:rPr>
          <w:rFonts w:ascii="Times New Roman" w:cs="Times New Roman" w:hAnsi="Times New Roman" w:eastAsia="Times New Roman"/>
          <w:kern w:val="18"/>
          <w:sz w:val="22"/>
          <w:szCs w:val="22"/>
          <w:lang w:val="en-US"/>
        </w:rPr>
      </w:pPr>
      <w:r>
        <w:rPr>
          <w:rFonts w:ascii="Times New Roman" w:hAnsi="Times New Roman"/>
          <w:b w:val="1"/>
          <w:bCs w:val="1"/>
          <w:kern w:val="18"/>
          <w:sz w:val="22"/>
          <w:szCs w:val="22"/>
          <w:rtl w:val="0"/>
          <w:lang w:val="en-US"/>
        </w:rPr>
        <w:t>Director, Legal and Regulatory Affairs</w:t>
      </w:r>
    </w:p>
    <w:p>
      <w:pPr>
        <w:pStyle w:val="Body A"/>
        <w:spacing w:line="252" w:lineRule="auto"/>
        <w:rPr>
          <w:rFonts w:ascii="Times New Roman" w:cs="Times New Roman" w:hAnsi="Times New Roman" w:eastAsia="Times New Roman"/>
          <w:b w:val="1"/>
          <w:bCs w:val="1"/>
          <w:kern w:val="18"/>
          <w:sz w:val="22"/>
          <w:szCs w:val="22"/>
        </w:rPr>
      </w:pPr>
    </w:p>
    <w:p>
      <w:pPr>
        <w:pStyle w:val="Body A"/>
        <w:spacing w:line="252" w:lineRule="auto"/>
        <w:rPr>
          <w:b w:val="1"/>
          <w:bCs w:val="1"/>
          <w:kern w:val="18"/>
        </w:rPr>
      </w:pPr>
      <w:r>
        <w:rPr>
          <w:rFonts w:ascii="Times New Roman" w:hAnsi="Times New Roman"/>
          <w:b w:val="1"/>
          <w:bCs w:val="1"/>
          <w:i w:val="1"/>
          <w:iCs w:val="1"/>
          <w:kern w:val="18"/>
          <w:sz w:val="22"/>
          <w:szCs w:val="22"/>
          <w:rtl w:val="0"/>
          <w:lang w:val="en-US"/>
        </w:rPr>
        <w:t xml:space="preserve">United States Marine Corps, 1980 </w:t>
      </w:r>
      <w:r>
        <w:rPr>
          <w:b w:val="1"/>
          <w:bCs w:val="1"/>
          <w:i w:val="1"/>
          <w:iCs w:val="1"/>
          <w:kern w:val="18"/>
          <w:sz w:val="22"/>
          <w:szCs w:val="22"/>
          <w:rtl w:val="0"/>
          <w:lang w:val="de-DE"/>
        </w:rPr>
        <w:t xml:space="preserve">– </w:t>
      </w:r>
      <w:r>
        <w:rPr>
          <w:rFonts w:ascii="Times New Roman" w:hAnsi="Times New Roman"/>
          <w:b w:val="1"/>
          <w:bCs w:val="1"/>
          <w:i w:val="1"/>
          <w:iCs w:val="1"/>
          <w:kern w:val="18"/>
          <w:sz w:val="22"/>
          <w:szCs w:val="22"/>
          <w:rtl w:val="0"/>
          <w:lang w:val="de-DE"/>
        </w:rPr>
        <w:t>1984,</w:t>
      </w:r>
      <w:r>
        <w:rPr>
          <w:rFonts w:ascii="Times New Roman" w:hAnsi="Times New Roman"/>
          <w:kern w:val="18"/>
          <w:sz w:val="22"/>
          <w:szCs w:val="22"/>
          <w:rtl w:val="0"/>
          <w:lang w:val="de-DE"/>
        </w:rPr>
        <w:t xml:space="preserve"> </w:t>
      </w:r>
      <w:r>
        <w:rPr>
          <w:rFonts w:ascii="Times New Roman" w:hAnsi="Times New Roman"/>
          <w:b w:val="1"/>
          <w:bCs w:val="1"/>
          <w:kern w:val="18"/>
          <w:sz w:val="22"/>
          <w:szCs w:val="22"/>
          <w:rtl w:val="0"/>
          <w:lang w:val="en-US"/>
        </w:rPr>
        <w:t>Sergeant (E-5), Enciphered Communications Analyst</w:t>
      </w:r>
    </w:p>
    <w:p>
      <w:pPr>
        <w:pStyle w:val="Body A"/>
        <w:spacing w:line="252" w:lineRule="auto"/>
        <w:rPr>
          <w:kern w:val="18"/>
        </w:rPr>
      </w:pPr>
    </w:p>
    <w:p>
      <w:pPr>
        <w:pStyle w:val="Heading 2 A A"/>
        <w:rPr>
          <w:kern w:val="18"/>
        </w:rPr>
      </w:pPr>
      <w:r>
        <w:rPr>
          <w:kern w:val="18"/>
          <w:rtl w:val="0"/>
          <w:lang w:val="en-US"/>
        </w:rPr>
        <w:t>EDUCATION</w:t>
      </w:r>
    </w:p>
    <w:p>
      <w:pPr>
        <w:pStyle w:val="Body A"/>
        <w:spacing w:line="252" w:lineRule="auto"/>
        <w:rPr>
          <w:rFonts w:ascii="Times New Roman" w:cs="Times New Roman" w:hAnsi="Times New Roman" w:eastAsia="Times New Roman"/>
          <w:b w:val="1"/>
          <w:bCs w:val="1"/>
          <w:i w:val="1"/>
          <w:iCs w:val="1"/>
          <w:kern w:val="18"/>
          <w:sz w:val="22"/>
          <w:szCs w:val="22"/>
        </w:rPr>
      </w:pPr>
    </w:p>
    <w:p>
      <w:pPr>
        <w:pStyle w:val="Body A"/>
        <w:spacing w:line="252" w:lineRule="auto"/>
        <w:rPr>
          <w:rFonts w:ascii="Times New Roman" w:cs="Times New Roman" w:hAnsi="Times New Roman" w:eastAsia="Times New Roman"/>
          <w:i w:val="1"/>
          <w:iCs w:val="1"/>
          <w:kern w:val="18"/>
          <w:sz w:val="22"/>
          <w:szCs w:val="22"/>
        </w:rPr>
      </w:pPr>
      <w:r>
        <w:rPr>
          <w:rFonts w:ascii="Times New Roman" w:hAnsi="Times New Roman"/>
          <w:b w:val="1"/>
          <w:bCs w:val="1"/>
          <w:i w:val="1"/>
          <w:iCs w:val="1"/>
          <w:kern w:val="18"/>
          <w:sz w:val="22"/>
          <w:szCs w:val="22"/>
          <w:rtl w:val="0"/>
          <w:lang w:val="en-US"/>
        </w:rPr>
        <w:t>University of Dayton School of Law</w:t>
      </w:r>
      <w:r>
        <w:rPr>
          <w:rFonts w:ascii="Times New Roman" w:hAnsi="Times New Roman"/>
          <w:i w:val="1"/>
          <w:iCs w:val="1"/>
          <w:kern w:val="18"/>
          <w:sz w:val="22"/>
          <w:szCs w:val="22"/>
          <w:rtl w:val="0"/>
          <w:lang w:val="de-DE"/>
        </w:rPr>
        <w:t xml:space="preserve">, </w:t>
      </w:r>
      <w:r>
        <w:rPr>
          <w:rFonts w:ascii="Times New Roman" w:hAnsi="Times New Roman"/>
          <w:b w:val="1"/>
          <w:bCs w:val="1"/>
          <w:i w:val="1"/>
          <w:iCs w:val="1"/>
          <w:kern w:val="18"/>
          <w:sz w:val="22"/>
          <w:szCs w:val="22"/>
          <w:rtl w:val="0"/>
          <w:lang w:val="en-US"/>
        </w:rPr>
        <w:t>Dayton, Ohio</w:t>
      </w:r>
    </w:p>
    <w:p>
      <w:pPr>
        <w:pStyle w:val="Body A"/>
        <w:spacing w:line="252" w:lineRule="auto"/>
        <w:rPr>
          <w:rFonts w:ascii="Times New Roman" w:cs="Times New Roman" w:hAnsi="Times New Roman" w:eastAsia="Times New Roman"/>
          <w:b w:val="1"/>
          <w:bCs w:val="1"/>
          <w:i w:val="1"/>
          <w:iCs w:val="1"/>
          <w:kern w:val="18"/>
          <w:sz w:val="22"/>
          <w:szCs w:val="22"/>
          <w:lang w:val="en-US"/>
        </w:rPr>
      </w:pPr>
      <w:r>
        <w:rPr>
          <w:rFonts w:ascii="Times New Roman" w:hAnsi="Times New Roman"/>
          <w:b w:val="1"/>
          <w:bCs w:val="1"/>
          <w:kern w:val="18"/>
          <w:sz w:val="22"/>
          <w:szCs w:val="22"/>
          <w:rtl w:val="0"/>
          <w:lang w:val="en-US"/>
        </w:rPr>
        <w:t>Juris Doctor</w:t>
      </w:r>
      <w:r>
        <w:rPr>
          <w:rFonts w:ascii="Times New Roman" w:hAnsi="Times New Roman"/>
          <w:kern w:val="18"/>
          <w:sz w:val="22"/>
          <w:szCs w:val="22"/>
          <w:rtl w:val="0"/>
          <w:lang w:val="en-US"/>
        </w:rPr>
        <w:t>, May 1998, Dean's Merit Scholar</w:t>
      </w:r>
    </w:p>
    <w:p>
      <w:pPr>
        <w:pStyle w:val="Body A"/>
        <w:spacing w:line="252" w:lineRule="auto"/>
        <w:rPr>
          <w:rFonts w:ascii="Times New Roman" w:cs="Times New Roman" w:hAnsi="Times New Roman" w:eastAsia="Times New Roman"/>
          <w:b w:val="1"/>
          <w:bCs w:val="1"/>
          <w:i w:val="1"/>
          <w:iCs w:val="1"/>
          <w:kern w:val="18"/>
          <w:sz w:val="22"/>
          <w:szCs w:val="22"/>
        </w:rPr>
      </w:pPr>
    </w:p>
    <w:p>
      <w:pPr>
        <w:pStyle w:val="Body A"/>
        <w:spacing w:line="252" w:lineRule="auto"/>
        <w:rPr>
          <w:rFonts w:ascii="Times New Roman" w:cs="Times New Roman" w:hAnsi="Times New Roman" w:eastAsia="Times New Roman"/>
          <w:b w:val="1"/>
          <w:bCs w:val="1"/>
          <w:i w:val="1"/>
          <w:iCs w:val="1"/>
          <w:kern w:val="18"/>
          <w:sz w:val="22"/>
          <w:szCs w:val="22"/>
          <w:lang w:val="en-US"/>
        </w:rPr>
      </w:pPr>
      <w:r>
        <w:rPr>
          <w:rFonts w:ascii="Times New Roman" w:hAnsi="Times New Roman"/>
          <w:b w:val="1"/>
          <w:bCs w:val="1"/>
          <w:i w:val="1"/>
          <w:iCs w:val="1"/>
          <w:kern w:val="18"/>
          <w:sz w:val="22"/>
          <w:szCs w:val="22"/>
          <w:rtl w:val="0"/>
          <w:lang w:val="en-US"/>
        </w:rPr>
        <w:t>University of Kentucky, College of Business and Economics, Lexington, Kentucky</w:t>
      </w:r>
    </w:p>
    <w:p>
      <w:pPr>
        <w:pStyle w:val="Body A"/>
        <w:spacing w:line="252" w:lineRule="auto"/>
        <w:rPr>
          <w:rFonts w:ascii="Times New Roman" w:cs="Times New Roman" w:hAnsi="Times New Roman" w:eastAsia="Times New Roman"/>
          <w:kern w:val="18"/>
          <w:sz w:val="22"/>
          <w:szCs w:val="22"/>
          <w:lang w:val="en-US"/>
        </w:rPr>
      </w:pPr>
      <w:r>
        <w:rPr>
          <w:rFonts w:ascii="Times New Roman" w:hAnsi="Times New Roman"/>
          <w:kern w:val="18"/>
          <w:sz w:val="22"/>
          <w:szCs w:val="22"/>
          <w:rtl w:val="0"/>
          <w:lang w:val="en-US"/>
        </w:rPr>
        <w:t xml:space="preserve">M.S. Economics, August 1993 </w:t>
      </w:r>
    </w:p>
    <w:p>
      <w:pPr>
        <w:pStyle w:val="Body A"/>
        <w:spacing w:line="252" w:lineRule="auto"/>
        <w:rPr>
          <w:rFonts w:ascii="Times New Roman" w:cs="Times New Roman" w:hAnsi="Times New Roman" w:eastAsia="Times New Roman"/>
          <w:kern w:val="18"/>
          <w:sz w:val="22"/>
          <w:szCs w:val="22"/>
          <w:lang w:val="en-US"/>
        </w:rPr>
      </w:pPr>
      <w:r>
        <w:rPr>
          <w:rFonts w:ascii="Times New Roman" w:hAnsi="Times New Roman"/>
          <w:kern w:val="18"/>
          <w:sz w:val="22"/>
          <w:szCs w:val="22"/>
          <w:rtl w:val="0"/>
          <w:lang w:val="en-US"/>
        </w:rPr>
        <w:t>B.S. Business and Economics, Honors, August 1991</w:t>
      </w:r>
    </w:p>
    <w:p>
      <w:pPr>
        <w:pStyle w:val="Default"/>
        <w:spacing w:before="0" w:line="240" w:lineRule="auto"/>
        <w:sectPr>
          <w:headerReference w:type="default" r:id="rId4"/>
          <w:headerReference w:type="even" r:id="rId5"/>
          <w:headerReference w:type="first" r:id="rId6"/>
          <w:footerReference w:type="default" r:id="rId7"/>
          <w:footerReference w:type="even" r:id="rId8"/>
          <w:footerReference w:type="first" r:id="rId9"/>
          <w:pgSz w:w="12240" w:h="15840" w:orient="portrait"/>
          <w:pgMar w:top="1152" w:right="1440" w:bottom="1170" w:left="1440" w:header="1152" w:footer="1440"/>
          <w:pgNumType w:start="2"/>
          <w:titlePg w:val="1"/>
          <w:bidi w:val="0"/>
        </w:sectPr>
      </w:pPr>
    </w:p>
    <w:p>
      <w:pPr>
        <w:pStyle w:val="Heading 2 A A"/>
        <w:tabs>
          <w:tab w:val="left" w:pos="5040"/>
        </w:tabs>
        <w:jc w:val="left"/>
        <w:rPr>
          <w:b w:val="0"/>
          <w:bCs w:val="0"/>
          <w:kern w:val="18"/>
        </w:rPr>
      </w:pPr>
    </w:p>
    <w:p>
      <w:pPr>
        <w:pStyle w:val="Heading 2 A A"/>
        <w:tabs>
          <w:tab w:val="left" w:pos="5040"/>
        </w:tabs>
        <w:rPr>
          <w:kern w:val="18"/>
        </w:rPr>
      </w:pPr>
    </w:p>
    <w:p>
      <w:pPr>
        <w:pStyle w:val="Heading 2 A A"/>
        <w:tabs>
          <w:tab w:val="left" w:pos="5040"/>
        </w:tabs>
        <w:rPr>
          <w:kern w:val="18"/>
        </w:rPr>
      </w:pPr>
      <w:r>
        <w:rPr>
          <w:kern w:val="18"/>
          <w:rtl w:val="0"/>
          <w:lang w:val="en-US"/>
        </w:rPr>
        <w:t>PAPERS and TRADE PRESS</w:t>
      </w:r>
    </w:p>
    <w:p>
      <w:pPr>
        <w:pStyle w:val="Body A"/>
        <w:spacing w:line="252" w:lineRule="auto"/>
        <w:jc w:val="both"/>
        <w:rPr>
          <w:rFonts w:ascii="Times New Roman" w:cs="Times New Roman" w:hAnsi="Times New Roman" w:eastAsia="Times New Roman"/>
          <w:kern w:val="18"/>
          <w:sz w:val="22"/>
          <w:szCs w:val="22"/>
        </w:rPr>
      </w:pPr>
    </w:p>
    <w:p>
      <w:pPr>
        <w:pStyle w:val="Body A"/>
        <w:spacing w:line="252" w:lineRule="auto"/>
        <w:rPr>
          <w:kern w:val="18"/>
        </w:rPr>
      </w:pPr>
    </w:p>
    <w:p>
      <w:pPr>
        <w:pStyle w:val="Body A"/>
        <w:spacing w:line="252" w:lineRule="auto"/>
        <w:rPr>
          <w:rFonts w:ascii="Times New Roman" w:cs="Times New Roman" w:hAnsi="Times New Roman" w:eastAsia="Times New Roman"/>
          <w:kern w:val="18"/>
          <w:sz w:val="22"/>
          <w:szCs w:val="22"/>
        </w:rPr>
      </w:pPr>
      <w:r>
        <w:rPr>
          <w:rFonts w:ascii="Times New Roman" w:hAnsi="Times New Roman"/>
          <w:kern w:val="18"/>
          <w:sz w:val="22"/>
          <w:szCs w:val="22"/>
          <w:rtl w:val="0"/>
          <w:lang w:val="it-IT"/>
        </w:rPr>
        <w:t xml:space="preserve">Co-Contributor (Van Trieste, Martin), </w:t>
      </w:r>
      <w:r>
        <w:rPr>
          <w:rFonts w:ascii="Times New Roman" w:hAnsi="Times New Roman" w:hint="default"/>
          <w:kern w:val="18"/>
          <w:sz w:val="22"/>
          <w:szCs w:val="22"/>
          <w:rtl w:val="0"/>
          <w:lang w:val="en-US"/>
        </w:rPr>
        <w:t>“</w:t>
      </w:r>
      <w:r>
        <w:rPr>
          <w:rFonts w:ascii="Times New Roman" w:hAnsi="Times New Roman"/>
          <w:kern w:val="18"/>
          <w:sz w:val="22"/>
          <w:szCs w:val="22"/>
          <w:rtl w:val="0"/>
          <w:lang w:val="en-US"/>
        </w:rPr>
        <w:t>Supply Chain SOS (Cover Story),</w:t>
      </w:r>
      <w:r>
        <w:rPr>
          <w:rFonts w:ascii="Times New Roman" w:hAnsi="Times New Roman" w:hint="default"/>
          <w:kern w:val="18"/>
          <w:sz w:val="22"/>
          <w:szCs w:val="22"/>
          <w:rtl w:val="0"/>
          <w:lang w:val="en-US"/>
        </w:rPr>
        <w:t xml:space="preserve">” </w:t>
      </w:r>
      <w:r>
        <w:rPr>
          <w:rFonts w:ascii="Times New Roman" w:hAnsi="Times New Roman"/>
          <w:kern w:val="18"/>
          <w:sz w:val="22"/>
          <w:szCs w:val="22"/>
          <w:rtl w:val="0"/>
          <w:lang w:val="en-US"/>
        </w:rPr>
        <w:t>The Medicine Maker (both contributors named to the MM Top 100 influencers in industry by the MM Editorial Board), February, 2017.</w:t>
      </w:r>
    </w:p>
    <w:p>
      <w:pPr>
        <w:pStyle w:val="Body A"/>
        <w:spacing w:line="252" w:lineRule="auto"/>
        <w:rPr>
          <w:rFonts w:ascii="Times New Roman" w:cs="Times New Roman" w:hAnsi="Times New Roman" w:eastAsia="Times New Roman"/>
          <w:kern w:val="18"/>
        </w:rPr>
      </w:pPr>
    </w:p>
    <w:p>
      <w:pPr>
        <w:pStyle w:val="Body A"/>
        <w:spacing w:line="252" w:lineRule="auto"/>
        <w:rPr>
          <w:rFonts w:ascii="Times New Roman" w:cs="Times New Roman" w:hAnsi="Times New Roman" w:eastAsia="Times New Roman"/>
          <w:kern w:val="18"/>
          <w:sz w:val="22"/>
          <w:szCs w:val="22"/>
          <w:lang w:val="en-US"/>
        </w:rPr>
      </w:pPr>
      <w:r>
        <w:rPr>
          <w:rFonts w:ascii="Times New Roman" w:hAnsi="Times New Roman"/>
          <w:kern w:val="18"/>
          <w:sz w:val="22"/>
          <w:szCs w:val="22"/>
          <w:rtl w:val="0"/>
          <w:lang w:val="en-US"/>
        </w:rPr>
        <w:t xml:space="preserve">Featured Interview, </w:t>
      </w:r>
      <w:r>
        <w:rPr>
          <w:rFonts w:ascii="Times New Roman" w:hAnsi="Times New Roman" w:hint="default"/>
          <w:kern w:val="18"/>
          <w:sz w:val="22"/>
          <w:szCs w:val="22"/>
          <w:rtl w:val="0"/>
          <w:lang w:val="en-US"/>
        </w:rPr>
        <w:t>“</w:t>
      </w:r>
      <w:r>
        <w:rPr>
          <w:rFonts w:ascii="Times New Roman" w:hAnsi="Times New Roman"/>
          <w:kern w:val="18"/>
          <w:sz w:val="22"/>
          <w:szCs w:val="22"/>
          <w:rtl w:val="0"/>
          <w:lang w:val="en-US"/>
        </w:rPr>
        <w:t>Global Supply Chain Issues for Medical Products,</w:t>
      </w:r>
      <w:r>
        <w:rPr>
          <w:rFonts w:ascii="Times New Roman" w:hAnsi="Times New Roman" w:hint="default"/>
          <w:kern w:val="18"/>
          <w:sz w:val="22"/>
          <w:szCs w:val="22"/>
          <w:rtl w:val="0"/>
          <w:lang w:val="en-US"/>
        </w:rPr>
        <w:t xml:space="preserve">” </w:t>
      </w:r>
      <w:r>
        <w:rPr>
          <w:rFonts w:ascii="Times New Roman" w:hAnsi="Times New Roman"/>
          <w:kern w:val="18"/>
          <w:sz w:val="22"/>
          <w:szCs w:val="22"/>
          <w:rtl w:val="0"/>
          <w:lang w:val="en-US"/>
        </w:rPr>
        <w:t>World Korea Medical Journal, Issue 12, December, 2016</w:t>
      </w:r>
    </w:p>
    <w:p>
      <w:pPr>
        <w:pStyle w:val="Body A"/>
        <w:spacing w:line="252" w:lineRule="auto"/>
        <w:rPr>
          <w:rFonts w:ascii="Times New Roman" w:cs="Times New Roman" w:hAnsi="Times New Roman" w:eastAsia="Times New Roman"/>
          <w:kern w:val="18"/>
        </w:rPr>
      </w:pPr>
    </w:p>
    <w:p>
      <w:pPr>
        <w:pStyle w:val="Body A"/>
        <w:spacing w:line="252" w:lineRule="auto"/>
        <w:rPr>
          <w:rFonts w:ascii="Times New Roman" w:cs="Times New Roman" w:hAnsi="Times New Roman" w:eastAsia="Times New Roman"/>
          <w:kern w:val="18"/>
          <w:sz w:val="22"/>
          <w:szCs w:val="22"/>
        </w:rPr>
      </w:pPr>
      <w:r>
        <w:rPr>
          <w:rFonts w:ascii="Times New Roman" w:hAnsi="Times New Roman"/>
          <w:kern w:val="18"/>
          <w:sz w:val="22"/>
          <w:szCs w:val="22"/>
          <w:rtl w:val="0"/>
          <w:lang w:val="nl-NL"/>
        </w:rPr>
        <w:t>APEC</w:t>
      </w:r>
      <w:r>
        <w:rPr>
          <w:kern w:val="18"/>
          <w:sz w:val="22"/>
          <w:szCs w:val="22"/>
          <w:rtl w:val="0"/>
          <w:lang w:val="de-DE"/>
        </w:rPr>
        <w:t>’</w:t>
      </w:r>
      <w:r>
        <w:rPr>
          <w:rFonts w:ascii="Times New Roman" w:hAnsi="Times New Roman"/>
          <w:kern w:val="18"/>
          <w:sz w:val="22"/>
          <w:szCs w:val="22"/>
          <w:rtl w:val="0"/>
          <w:lang w:val="en-US"/>
        </w:rPr>
        <w:t>s Roadmap to Promote Medical Product Integrity and Supply Chain Security,</w:t>
      </w:r>
      <w:r>
        <w:rPr>
          <w:kern w:val="18"/>
          <w:sz w:val="22"/>
          <w:szCs w:val="22"/>
          <w:rtl w:val="0"/>
          <w:lang w:val="de-DE"/>
        </w:rPr>
        <w:t xml:space="preserve">” </w:t>
      </w:r>
      <w:r>
        <w:rPr>
          <w:rFonts w:ascii="Times New Roman" w:hAnsi="Times New Roman"/>
          <w:kern w:val="18"/>
          <w:sz w:val="22"/>
          <w:szCs w:val="22"/>
          <w:rtl w:val="0"/>
          <w:lang w:val="en-US"/>
        </w:rPr>
        <w:t>Paxton, Mark, DIA Global Forum, Vol. 5, Issue 3, pp. 19-23, June, 2013.</w:t>
      </w:r>
    </w:p>
    <w:p>
      <w:pPr>
        <w:pStyle w:val="Body A"/>
        <w:spacing w:line="252" w:lineRule="auto"/>
        <w:rPr>
          <w:rFonts w:ascii="Times New Roman" w:cs="Times New Roman" w:hAnsi="Times New Roman" w:eastAsia="Times New Roman"/>
          <w:kern w:val="18"/>
          <w:sz w:val="22"/>
          <w:szCs w:val="22"/>
        </w:rPr>
      </w:pPr>
    </w:p>
    <w:p>
      <w:pPr>
        <w:pStyle w:val="Body A"/>
        <w:spacing w:line="252" w:lineRule="auto"/>
        <w:rPr>
          <w:rFonts w:ascii="Times New Roman" w:cs="Times New Roman" w:hAnsi="Times New Roman" w:eastAsia="Times New Roman"/>
          <w:kern w:val="18"/>
          <w:sz w:val="22"/>
          <w:szCs w:val="22"/>
        </w:rPr>
      </w:pPr>
      <w:r>
        <w:rPr>
          <w:kern w:val="18"/>
          <w:sz w:val="22"/>
          <w:szCs w:val="22"/>
          <w:rtl w:val="0"/>
          <w:lang w:val="de-DE"/>
        </w:rPr>
        <w:t>“</w:t>
      </w:r>
      <w:r>
        <w:rPr>
          <w:rFonts w:ascii="Times New Roman" w:hAnsi="Times New Roman"/>
          <w:kern w:val="18"/>
          <w:sz w:val="22"/>
          <w:szCs w:val="22"/>
          <w:rtl w:val="0"/>
          <w:lang w:val="en-US"/>
        </w:rPr>
        <w:t>Current Challenges with Supply Chain Integrity and the Threat to the Quality of Marketed Products,</w:t>
      </w:r>
      <w:r>
        <w:rPr>
          <w:kern w:val="18"/>
          <w:sz w:val="22"/>
          <w:szCs w:val="22"/>
          <w:rtl w:val="0"/>
          <w:lang w:val="de-DE"/>
        </w:rPr>
        <w:t xml:space="preserve">” </w:t>
      </w:r>
      <w:r>
        <w:rPr>
          <w:rFonts w:ascii="Times New Roman" w:hAnsi="Times New Roman"/>
          <w:kern w:val="18"/>
          <w:sz w:val="22"/>
          <w:szCs w:val="22"/>
          <w:rtl w:val="0"/>
          <w:lang w:val="en-US"/>
        </w:rPr>
        <w:t>Paxton, Mark, ClinicalPharmcol Thera (</w:t>
      </w:r>
      <w:r>
        <w:rPr>
          <w:rFonts w:ascii="Times New Roman" w:hAnsi="Times New Roman"/>
          <w:i w:val="1"/>
          <w:iCs w:val="1"/>
          <w:kern w:val="18"/>
          <w:sz w:val="22"/>
          <w:szCs w:val="22"/>
          <w:rtl w:val="0"/>
          <w:lang w:val="fr-FR"/>
        </w:rPr>
        <w:t>Nature</w:t>
      </w:r>
      <w:r>
        <w:rPr>
          <w:rFonts w:ascii="Times New Roman" w:hAnsi="Times New Roman"/>
          <w:kern w:val="18"/>
          <w:sz w:val="22"/>
          <w:szCs w:val="22"/>
          <w:rtl w:val="0"/>
          <w:lang w:val="en-US"/>
        </w:rPr>
        <w:t>), Vol. 89, pp 316-319, Feb. 2011</w:t>
      </w:r>
    </w:p>
    <w:p>
      <w:pPr>
        <w:pStyle w:val="Body A"/>
        <w:spacing w:line="252" w:lineRule="auto"/>
        <w:rPr>
          <w:rFonts w:ascii="Times New Roman" w:cs="Times New Roman" w:hAnsi="Times New Roman" w:eastAsia="Times New Roman"/>
          <w:kern w:val="18"/>
          <w:sz w:val="22"/>
          <w:szCs w:val="22"/>
        </w:rPr>
      </w:pPr>
    </w:p>
    <w:p>
      <w:pPr>
        <w:pStyle w:val="Body A"/>
        <w:spacing w:line="252" w:lineRule="auto"/>
        <w:rPr>
          <w:rFonts w:ascii="Times New Roman" w:cs="Times New Roman" w:hAnsi="Times New Roman" w:eastAsia="Times New Roman"/>
          <w:kern w:val="18"/>
          <w:sz w:val="22"/>
          <w:szCs w:val="22"/>
        </w:rPr>
      </w:pPr>
      <w:r>
        <w:rPr>
          <w:kern w:val="18"/>
          <w:sz w:val="22"/>
          <w:szCs w:val="22"/>
          <w:rtl w:val="0"/>
          <w:lang w:val="de-DE"/>
        </w:rPr>
        <w:t>“</w:t>
      </w:r>
      <w:r>
        <w:rPr>
          <w:rFonts w:ascii="Times New Roman" w:hAnsi="Times New Roman"/>
          <w:kern w:val="18"/>
          <w:sz w:val="22"/>
          <w:szCs w:val="22"/>
          <w:rtl w:val="0"/>
          <w:lang w:val="en-US"/>
        </w:rPr>
        <w:t>Industry Efforts on Simultaneous Global Development,</w:t>
      </w:r>
      <w:r>
        <w:rPr>
          <w:kern w:val="18"/>
          <w:sz w:val="22"/>
          <w:szCs w:val="22"/>
          <w:rtl w:val="0"/>
          <w:lang w:val="de-DE"/>
        </w:rPr>
        <w:t xml:space="preserve">” </w:t>
      </w:r>
      <w:r>
        <w:rPr>
          <w:rFonts w:ascii="Times New Roman" w:hAnsi="Times New Roman"/>
          <w:kern w:val="18"/>
          <w:sz w:val="22"/>
          <w:szCs w:val="22"/>
          <w:rtl w:val="0"/>
          <w:lang w:val="en-US"/>
        </w:rPr>
        <w:t>Saillot, JL, and Paxton, Mark S., DIA Journal, V II, May 2009</w:t>
      </w:r>
    </w:p>
    <w:p>
      <w:pPr>
        <w:pStyle w:val="Body A"/>
        <w:spacing w:line="252" w:lineRule="auto"/>
        <w:rPr>
          <w:rFonts w:ascii="Times New Roman" w:cs="Times New Roman" w:hAnsi="Times New Roman" w:eastAsia="Times New Roman"/>
          <w:kern w:val="18"/>
          <w:sz w:val="22"/>
          <w:szCs w:val="22"/>
        </w:rPr>
      </w:pPr>
    </w:p>
    <w:p>
      <w:pPr>
        <w:pStyle w:val="Body A"/>
        <w:spacing w:line="252" w:lineRule="auto"/>
        <w:rPr>
          <w:rFonts w:ascii="Times New Roman" w:cs="Times New Roman" w:hAnsi="Times New Roman" w:eastAsia="Times New Roman"/>
          <w:kern w:val="18"/>
          <w:sz w:val="22"/>
          <w:szCs w:val="22"/>
        </w:rPr>
      </w:pPr>
      <w:r>
        <w:rPr>
          <w:kern w:val="18"/>
          <w:sz w:val="22"/>
          <w:szCs w:val="22"/>
          <w:rtl w:val="0"/>
          <w:lang w:val="de-DE"/>
        </w:rPr>
        <w:t>“</w:t>
      </w:r>
      <w:r>
        <w:rPr>
          <w:rFonts w:ascii="Times New Roman" w:hAnsi="Times New Roman"/>
          <w:kern w:val="18"/>
          <w:sz w:val="22"/>
          <w:szCs w:val="22"/>
          <w:rtl w:val="0"/>
          <w:lang w:val="en-US"/>
        </w:rPr>
        <w:t>Problems With Regionalization and Water Resource Development,</w:t>
      </w:r>
      <w:r>
        <w:rPr>
          <w:kern w:val="18"/>
          <w:sz w:val="22"/>
          <w:szCs w:val="22"/>
          <w:rtl w:val="0"/>
          <w:lang w:val="de-DE"/>
        </w:rPr>
        <w:t xml:space="preserve">” </w:t>
      </w:r>
      <w:r>
        <w:rPr>
          <w:rFonts w:ascii="Times New Roman" w:hAnsi="Times New Roman"/>
          <w:kern w:val="18"/>
          <w:sz w:val="22"/>
          <w:szCs w:val="22"/>
          <w:rtl w:val="0"/>
          <w:lang w:val="en-US"/>
        </w:rPr>
        <w:t>Kentucky League of Cities (July, 1999).</w:t>
      </w:r>
    </w:p>
    <w:p>
      <w:pPr>
        <w:pStyle w:val="Body A"/>
        <w:spacing w:line="252" w:lineRule="auto"/>
        <w:rPr>
          <w:rFonts w:ascii="Times New Roman" w:cs="Times New Roman" w:hAnsi="Times New Roman" w:eastAsia="Times New Roman"/>
          <w:kern w:val="18"/>
          <w:sz w:val="22"/>
          <w:szCs w:val="22"/>
        </w:rPr>
      </w:pPr>
    </w:p>
    <w:p>
      <w:pPr>
        <w:pStyle w:val="Body A"/>
        <w:spacing w:line="252" w:lineRule="auto"/>
        <w:rPr>
          <w:rFonts w:ascii="Times New Roman" w:cs="Times New Roman" w:hAnsi="Times New Roman" w:eastAsia="Times New Roman"/>
          <w:kern w:val="18"/>
          <w:sz w:val="22"/>
          <w:szCs w:val="22"/>
        </w:rPr>
      </w:pPr>
      <w:r>
        <w:rPr>
          <w:kern w:val="18"/>
          <w:sz w:val="22"/>
          <w:szCs w:val="22"/>
          <w:rtl w:val="0"/>
          <w:lang w:val="de-DE"/>
        </w:rPr>
        <w:t>“</w:t>
      </w:r>
      <w:r>
        <w:rPr>
          <w:rFonts w:ascii="Times New Roman" w:hAnsi="Times New Roman"/>
          <w:kern w:val="18"/>
          <w:sz w:val="22"/>
          <w:szCs w:val="22"/>
          <w:rtl w:val="0"/>
          <w:lang w:val="en-US"/>
        </w:rPr>
        <w:t>Probabilistic Methods and the Law of Design Defects,</w:t>
      </w:r>
      <w:r>
        <w:rPr>
          <w:kern w:val="18"/>
          <w:sz w:val="22"/>
          <w:szCs w:val="22"/>
          <w:rtl w:val="0"/>
          <w:lang w:val="de-DE"/>
        </w:rPr>
        <w:t xml:space="preserve">” </w:t>
      </w:r>
      <w:r>
        <w:rPr>
          <w:rFonts w:ascii="Times New Roman" w:hAnsi="Times New Roman"/>
          <w:kern w:val="18"/>
          <w:sz w:val="22"/>
          <w:szCs w:val="22"/>
          <w:rtl w:val="0"/>
          <w:lang w:val="en-US"/>
        </w:rPr>
        <w:t>Society of Automotive Engineers (SAE) Technical Paper (October, 1998).</w:t>
      </w:r>
    </w:p>
    <w:p>
      <w:pPr>
        <w:pStyle w:val="Body A"/>
        <w:spacing w:line="252" w:lineRule="auto"/>
        <w:rPr>
          <w:rFonts w:ascii="Times New Roman" w:cs="Times New Roman" w:hAnsi="Times New Roman" w:eastAsia="Times New Roman"/>
          <w:kern w:val="18"/>
          <w:sz w:val="22"/>
          <w:szCs w:val="22"/>
        </w:rPr>
      </w:pPr>
    </w:p>
    <w:p>
      <w:pPr>
        <w:pStyle w:val="Body A"/>
        <w:spacing w:line="252" w:lineRule="auto"/>
        <w:rPr>
          <w:rFonts w:ascii="Times New Roman" w:cs="Times New Roman" w:hAnsi="Times New Roman" w:eastAsia="Times New Roman"/>
          <w:kern w:val="18"/>
          <w:sz w:val="22"/>
          <w:szCs w:val="22"/>
        </w:rPr>
      </w:pPr>
      <w:r>
        <w:rPr>
          <w:kern w:val="18"/>
          <w:sz w:val="22"/>
          <w:szCs w:val="22"/>
          <w:rtl w:val="0"/>
          <w:lang w:val="de-DE"/>
        </w:rPr>
        <w:t>“</w:t>
      </w:r>
      <w:r>
        <w:rPr>
          <w:rFonts w:ascii="Times New Roman" w:hAnsi="Times New Roman"/>
          <w:kern w:val="18"/>
          <w:sz w:val="22"/>
          <w:szCs w:val="22"/>
          <w:rtl w:val="0"/>
          <w:lang w:val="en-US"/>
        </w:rPr>
        <w:t>A Model for Measuring Marginal Rates of Substitution of Prosecutors in Plea-Bargaining,</w:t>
      </w:r>
      <w:r>
        <w:rPr>
          <w:kern w:val="18"/>
          <w:sz w:val="22"/>
          <w:szCs w:val="22"/>
          <w:rtl w:val="0"/>
          <w:lang w:val="de-DE"/>
        </w:rPr>
        <w:t xml:space="preserve">” </w:t>
      </w:r>
      <w:r>
        <w:rPr>
          <w:rFonts w:ascii="Times New Roman" w:hAnsi="Times New Roman"/>
          <w:kern w:val="18"/>
          <w:sz w:val="22"/>
          <w:szCs w:val="22"/>
          <w:rtl w:val="0"/>
          <w:lang w:val="en-US"/>
        </w:rPr>
        <w:t>Dissertation essay (1995).</w:t>
      </w:r>
    </w:p>
    <w:p>
      <w:pPr>
        <w:pStyle w:val="Body A"/>
        <w:spacing w:line="252" w:lineRule="auto"/>
        <w:rPr>
          <w:rFonts w:ascii="Times New Roman" w:cs="Times New Roman" w:hAnsi="Times New Roman" w:eastAsia="Times New Roman"/>
          <w:kern w:val="18"/>
          <w:sz w:val="22"/>
          <w:szCs w:val="22"/>
        </w:rPr>
      </w:pPr>
    </w:p>
    <w:p>
      <w:pPr>
        <w:pStyle w:val="Body A"/>
        <w:spacing w:line="252" w:lineRule="auto"/>
        <w:rPr>
          <w:rFonts w:ascii="Times New Roman" w:cs="Times New Roman" w:hAnsi="Times New Roman" w:eastAsia="Times New Roman"/>
          <w:kern w:val="18"/>
          <w:sz w:val="22"/>
          <w:szCs w:val="22"/>
        </w:rPr>
      </w:pPr>
      <w:r>
        <w:rPr>
          <w:kern w:val="18"/>
          <w:sz w:val="22"/>
          <w:szCs w:val="22"/>
          <w:rtl w:val="0"/>
          <w:lang w:val="de-DE"/>
        </w:rPr>
        <w:t>“</w:t>
      </w:r>
      <w:r>
        <w:rPr>
          <w:rFonts w:ascii="Times New Roman" w:hAnsi="Times New Roman"/>
          <w:kern w:val="18"/>
          <w:sz w:val="22"/>
          <w:szCs w:val="22"/>
          <w:rtl w:val="0"/>
          <w:lang w:val="en-US"/>
        </w:rPr>
        <w:t>The Myth of Market Externalities in Design Defect Law,</w:t>
      </w:r>
      <w:r>
        <w:rPr>
          <w:kern w:val="18"/>
          <w:sz w:val="22"/>
          <w:szCs w:val="22"/>
          <w:rtl w:val="0"/>
          <w:lang w:val="de-DE"/>
        </w:rPr>
        <w:t xml:space="preserve">” </w:t>
      </w:r>
      <w:r>
        <w:rPr>
          <w:rFonts w:ascii="Times New Roman" w:hAnsi="Times New Roman"/>
          <w:kern w:val="18"/>
          <w:sz w:val="22"/>
          <w:szCs w:val="22"/>
          <w:rtl w:val="0"/>
          <w:lang w:val="en-US"/>
        </w:rPr>
        <w:t>Dissertation essay (1995).</w:t>
      </w:r>
    </w:p>
    <w:p>
      <w:pPr>
        <w:pStyle w:val="Body A"/>
        <w:spacing w:line="252" w:lineRule="auto"/>
        <w:rPr>
          <w:rFonts w:ascii="Times New Roman" w:cs="Times New Roman" w:hAnsi="Times New Roman" w:eastAsia="Times New Roman"/>
          <w:kern w:val="18"/>
          <w:sz w:val="22"/>
          <w:szCs w:val="22"/>
        </w:rPr>
      </w:pPr>
    </w:p>
    <w:p>
      <w:pPr>
        <w:pStyle w:val="Body A"/>
        <w:spacing w:line="252" w:lineRule="auto"/>
        <w:rPr>
          <w:rFonts w:ascii="Times New Roman" w:cs="Times New Roman" w:hAnsi="Times New Roman" w:eastAsia="Times New Roman"/>
          <w:kern w:val="18"/>
          <w:sz w:val="22"/>
          <w:szCs w:val="22"/>
        </w:rPr>
      </w:pPr>
      <w:r>
        <w:rPr>
          <w:kern w:val="18"/>
          <w:sz w:val="22"/>
          <w:szCs w:val="22"/>
          <w:rtl w:val="0"/>
          <w:lang w:val="de-DE"/>
        </w:rPr>
        <w:t>“</w:t>
      </w:r>
      <w:r>
        <w:rPr>
          <w:rFonts w:ascii="Times New Roman" w:hAnsi="Times New Roman"/>
          <w:kern w:val="18"/>
          <w:sz w:val="22"/>
          <w:szCs w:val="22"/>
          <w:rtl w:val="0"/>
          <w:lang w:val="en-US"/>
        </w:rPr>
        <w:t>An Application of Binomial Econometric Techniques: Measuring the Weights of Legal Factors Used in Design Defect Law to Predict the Probability of Success in Litigation,</w:t>
      </w:r>
      <w:r>
        <w:rPr>
          <w:kern w:val="18"/>
          <w:sz w:val="22"/>
          <w:szCs w:val="22"/>
          <w:rtl w:val="0"/>
          <w:lang w:val="de-DE"/>
        </w:rPr>
        <w:t xml:space="preserve">” </w:t>
      </w:r>
      <w:r>
        <w:rPr>
          <w:rFonts w:ascii="Times New Roman" w:hAnsi="Times New Roman"/>
          <w:kern w:val="18"/>
          <w:sz w:val="22"/>
          <w:szCs w:val="22"/>
          <w:rtl w:val="0"/>
          <w:lang w:val="en-US"/>
        </w:rPr>
        <w:t>Dissertation essay (1995).</w:t>
      </w:r>
    </w:p>
    <w:p>
      <w:pPr>
        <w:pStyle w:val="Body A"/>
        <w:spacing w:line="252" w:lineRule="auto"/>
        <w:jc w:val="both"/>
        <w:rPr>
          <w:rFonts w:ascii="Times New Roman" w:cs="Times New Roman" w:hAnsi="Times New Roman" w:eastAsia="Times New Roman"/>
          <w:kern w:val="18"/>
          <w:sz w:val="22"/>
          <w:szCs w:val="22"/>
        </w:rPr>
      </w:pPr>
    </w:p>
    <w:p>
      <w:pPr>
        <w:pStyle w:val="Body A"/>
        <w:spacing w:line="252" w:lineRule="auto"/>
        <w:jc w:val="both"/>
        <w:rPr>
          <w:rFonts w:ascii="Times New Roman" w:cs="Times New Roman" w:hAnsi="Times New Roman" w:eastAsia="Times New Roman"/>
          <w:kern w:val="18"/>
          <w:sz w:val="22"/>
          <w:szCs w:val="22"/>
        </w:rPr>
      </w:pPr>
    </w:p>
    <w:p>
      <w:pPr>
        <w:pStyle w:val="Heading 3 A A"/>
        <w:rPr>
          <w:b w:val="1"/>
          <w:bCs w:val="1"/>
          <w:kern w:val="18"/>
          <w:sz w:val="22"/>
          <w:szCs w:val="22"/>
        </w:rPr>
      </w:pPr>
      <w:r>
        <w:rPr>
          <w:b w:val="1"/>
          <w:bCs w:val="1"/>
          <w:kern w:val="18"/>
          <w:sz w:val="22"/>
          <w:szCs w:val="22"/>
          <w:rtl w:val="0"/>
          <w:lang w:val="en-US"/>
        </w:rPr>
        <w:t>PRESENTATIONS</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w:t>
      </w:r>
      <w:r>
        <w:rPr>
          <w:kern w:val="18"/>
          <w:rtl w:val="0"/>
          <w:lang w:val="en-US"/>
        </w:rPr>
        <w:t>“</w:t>
      </w:r>
      <w:r>
        <w:rPr>
          <w:kern w:val="18"/>
          <w:rtl w:val="0"/>
          <w:lang w:val="en-US"/>
        </w:rPr>
        <w:t>International Regulatory Concerns with Globalization of the Biopharmaceutical Industry,</w:t>
      </w:r>
      <w:r>
        <w:rPr>
          <w:kern w:val="18"/>
          <w:rtl w:val="0"/>
          <w:lang w:val="en-US"/>
        </w:rPr>
        <w:t xml:space="preserve">” </w:t>
      </w:r>
      <w:r>
        <w:rPr>
          <w:kern w:val="18"/>
          <w:rtl w:val="0"/>
          <w:lang w:val="en-US"/>
        </w:rPr>
        <w:t>DHL Life Science Annual Meeting, Singapore, June 26-28, 2017</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Keynote Speaker, </w:t>
      </w:r>
      <w:r>
        <w:rPr>
          <w:kern w:val="18"/>
          <w:rtl w:val="0"/>
          <w:lang w:val="en-US"/>
        </w:rPr>
        <w:t>“</w:t>
      </w:r>
      <w:r>
        <w:rPr>
          <w:kern w:val="18"/>
          <w:rtl w:val="0"/>
          <w:lang w:val="en-US"/>
        </w:rPr>
        <w:t>Common Carriers: Moving Medical Products and Raw Materials in International Commerce,</w:t>
      </w:r>
      <w:r>
        <w:rPr>
          <w:kern w:val="18"/>
          <w:rtl w:val="0"/>
          <w:lang w:val="en-US"/>
        </w:rPr>
        <w:t xml:space="preserve">” </w:t>
      </w:r>
      <w:r>
        <w:rPr>
          <w:kern w:val="18"/>
          <w:rtl w:val="0"/>
          <w:lang w:val="en-US"/>
        </w:rPr>
        <w:t>2nd Annual FlyPharma Conference, Brussels, Belgium, June 6-7, 2017</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Keynote Speaker,  </w:t>
      </w:r>
      <w:r>
        <w:rPr>
          <w:kern w:val="18"/>
          <w:rtl w:val="0"/>
          <w:lang w:val="en-US"/>
        </w:rPr>
        <w:t>“</w:t>
      </w:r>
      <w:r>
        <w:rPr>
          <w:kern w:val="18"/>
          <w:rtl w:val="0"/>
          <w:lang w:val="en-US"/>
        </w:rPr>
        <w:t>Regulatory Concerns with the Quality of Medical Products and Raw Materials Moving in International Commerce</w:t>
      </w:r>
      <w:r>
        <w:rPr>
          <w:kern w:val="18"/>
          <w:rtl w:val="0"/>
          <w:lang w:val="en-US"/>
        </w:rPr>
        <w:t>”</w:t>
      </w:r>
      <w:r>
        <w:rPr>
          <w:kern w:val="18"/>
          <w:rtl w:val="0"/>
          <w:lang w:val="en-US"/>
        </w:rPr>
        <w:t>, Chinese Federation of Logistics and Procurement Annual Meeting, Hainan, China, November, 2016</w:t>
      </w:r>
    </w:p>
    <w:p>
      <w:pPr>
        <w:pStyle w:val="Body Text 21"/>
        <w:spacing w:line="244" w:lineRule="auto"/>
        <w:jc w:val="left"/>
        <w:rPr>
          <w:kern w:val="18"/>
        </w:rPr>
      </w:pPr>
    </w:p>
    <w:p>
      <w:pPr>
        <w:pStyle w:val="Body Text 21"/>
        <w:spacing w:line="244" w:lineRule="auto"/>
        <w:jc w:val="left"/>
        <w:rPr>
          <w:kern w:val="18"/>
        </w:rPr>
      </w:pPr>
      <w:r>
        <w:rPr>
          <w:kern w:val="18"/>
          <w:rtl w:val="0"/>
          <w:lang w:val="en-US"/>
        </w:rPr>
        <w:t>Invited Subject Matter Expert and Presenter, Issues in Global Medical Product Quality, Canadian Institute of Health Research, Bucks for Brains, Feb. 20-21, 2016</w:t>
      </w:r>
    </w:p>
    <w:p>
      <w:pPr>
        <w:pStyle w:val="Body Text 21"/>
        <w:spacing w:line="244" w:lineRule="auto"/>
        <w:jc w:val="left"/>
        <w:rPr>
          <w:kern w:val="18"/>
        </w:rPr>
      </w:pPr>
    </w:p>
    <w:p>
      <w:pPr>
        <w:pStyle w:val="Body Text 21"/>
        <w:spacing w:line="244" w:lineRule="auto"/>
        <w:jc w:val="left"/>
        <w:rPr>
          <w:kern w:val="18"/>
        </w:rPr>
      </w:pPr>
      <w:r>
        <w:rPr>
          <w:kern w:val="18"/>
          <w:rtl w:val="0"/>
          <w:lang w:val="en-US"/>
        </w:rPr>
        <w:t>Chairperson and Presenter, Bio Manufacturing World Summit, San Diego, Nov. 16-17, 2015</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and Panelist, 3rd Annual Meeting of the World Korea Medical Organization, </w:t>
      </w:r>
      <w:r>
        <w:rPr>
          <w:kern w:val="18"/>
          <w:rtl w:val="0"/>
          <w:lang w:val="en-US"/>
        </w:rPr>
        <w:t>“</w:t>
      </w:r>
      <w:r>
        <w:rPr>
          <w:kern w:val="18"/>
          <w:rtl w:val="0"/>
          <w:lang w:val="en-US"/>
        </w:rPr>
        <w:t>Integrating Drug Safety Data into EMRs</w:t>
      </w:r>
      <w:r>
        <w:rPr>
          <w:kern w:val="18"/>
          <w:rtl w:val="0"/>
          <w:lang w:val="en-US"/>
        </w:rPr>
        <w:t>”</w:t>
      </w:r>
      <w:r>
        <w:rPr>
          <w:kern w:val="18"/>
          <w:rtl w:val="0"/>
          <w:lang w:val="en-US"/>
        </w:rPr>
        <w:t>, July 4-5, 2014 New York, NY</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and Panelist, 2014 PDA/FDA Supply Chain Conference, </w:t>
      </w:r>
      <w:r>
        <w:rPr>
          <w:kern w:val="18"/>
          <w:rtl w:val="0"/>
          <w:lang w:val="en-US"/>
        </w:rPr>
        <w:t>“</w:t>
      </w:r>
      <w:r>
        <w:rPr>
          <w:kern w:val="18"/>
          <w:rtl w:val="0"/>
          <w:lang w:val="en-US"/>
        </w:rPr>
        <w:t>APEC Roadmap</w:t>
      </w:r>
      <w:r>
        <w:rPr>
          <w:kern w:val="18"/>
          <w:rtl w:val="0"/>
          <w:lang w:val="en-US"/>
        </w:rPr>
        <w:t>”</w:t>
      </w:r>
      <w:r>
        <w:rPr>
          <w:kern w:val="18"/>
          <w:rtl w:val="0"/>
          <w:lang w:val="en-US"/>
        </w:rPr>
        <w:t>, June 2-5, 2014, Washington, DC</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Chairperson, </w:t>
      </w:r>
      <w:r>
        <w:rPr>
          <w:kern w:val="18"/>
          <w:rtl w:val="0"/>
          <w:lang w:val="en-US"/>
        </w:rPr>
        <w:t>“</w:t>
      </w:r>
      <w:r>
        <w:rPr>
          <w:rtl w:val="0"/>
          <w:lang w:val="en-US"/>
        </w:rPr>
        <w:t>1st Stocktaking Meeting of Regulators and Experts to Review Implementation of the APEC RHSC Roadmap for Medical Product Quality and Supply Chain Integrity</w:t>
      </w:r>
      <w:r>
        <w:rPr>
          <w:rtl w:val="0"/>
          <w:lang w:val="en-US"/>
        </w:rPr>
        <w:t>”</w:t>
      </w:r>
      <w:r>
        <w:rPr>
          <w:rtl w:val="0"/>
          <w:lang w:val="en-US"/>
        </w:rPr>
        <w:t>, 2nd APEC Senior Officials Meeting, Qingdao, China May 5-9, 2014.</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and Panelist, 2013 PDA/FDA Pharmaceutical Supply Chain Workshop, </w:t>
      </w:r>
      <w:r>
        <w:rPr>
          <w:kern w:val="18"/>
          <w:rtl w:val="0"/>
          <w:lang w:val="en-US"/>
        </w:rPr>
        <w:t>“</w:t>
      </w:r>
      <w:r>
        <w:rPr>
          <w:kern w:val="18"/>
          <w:rtl w:val="0"/>
          <w:lang w:val="en-US"/>
        </w:rPr>
        <w:t>Pharmaceutical Supply Chain Integrity: The New Horizon,</w:t>
      </w:r>
      <w:r>
        <w:rPr>
          <w:kern w:val="18"/>
          <w:rtl w:val="0"/>
          <w:lang w:val="en-US"/>
        </w:rPr>
        <w:t xml:space="preserve">” </w:t>
      </w:r>
      <w:r>
        <w:rPr>
          <w:kern w:val="18"/>
          <w:rtl w:val="0"/>
          <w:lang w:val="en-US"/>
        </w:rPr>
        <w:t>Bethesda, Maryland, June 3-5, 2013.</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Honorary Speaker, </w:t>
      </w:r>
      <w:r>
        <w:rPr>
          <w:kern w:val="18"/>
          <w:rtl w:val="0"/>
          <w:lang w:val="en-US"/>
        </w:rPr>
        <w:t>“</w:t>
      </w:r>
      <w:r>
        <w:rPr>
          <w:kern w:val="18"/>
          <w:rtl w:val="0"/>
          <w:lang w:val="en-US"/>
        </w:rPr>
        <w:t>APEC Roadmap to Promote Medical Product Integrity and Supply Chain Security: Public Awareness and Establishing a Single Point of Contact,</w:t>
      </w:r>
      <w:r>
        <w:rPr>
          <w:kern w:val="18"/>
          <w:rtl w:val="0"/>
          <w:lang w:val="en-US"/>
        </w:rPr>
        <w:t xml:space="preserve">” </w:t>
      </w:r>
      <w:r>
        <w:rPr>
          <w:kern w:val="18"/>
          <w:rtl w:val="0"/>
          <w:lang w:val="en-US"/>
        </w:rPr>
        <w:t>Seoul, Korea, May 22-23, 2013.</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DIA Asian Regulatory Conference, </w:t>
      </w:r>
      <w:r>
        <w:rPr>
          <w:kern w:val="18"/>
          <w:rtl w:val="0"/>
          <w:lang w:val="en-US"/>
        </w:rPr>
        <w:t>“</w:t>
      </w:r>
      <w:r>
        <w:rPr>
          <w:kern w:val="18"/>
          <w:rtl w:val="0"/>
          <w:lang w:val="en-US"/>
        </w:rPr>
        <w:t>APEC Roadmap to Global Supply Chain Security,</w:t>
      </w:r>
      <w:r>
        <w:rPr>
          <w:kern w:val="18"/>
          <w:rtl w:val="0"/>
          <w:lang w:val="en-US"/>
        </w:rPr>
        <w:t xml:space="preserve">” </w:t>
      </w:r>
      <w:r>
        <w:rPr>
          <w:kern w:val="18"/>
          <w:rtl w:val="0"/>
          <w:lang w:val="en-US"/>
        </w:rPr>
        <w:t>Singapore, February 28-March 1, 2013.</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DIA Latin America Regulatory Conference, </w:t>
      </w:r>
      <w:r>
        <w:rPr>
          <w:kern w:val="18"/>
          <w:rtl w:val="0"/>
          <w:lang w:val="en-US"/>
        </w:rPr>
        <w:t>“</w:t>
      </w:r>
      <w:r>
        <w:rPr>
          <w:kern w:val="18"/>
          <w:rtl w:val="0"/>
          <w:lang w:val="en-US"/>
        </w:rPr>
        <w:t>FDAsia and Supply Chain Security,</w:t>
      </w:r>
      <w:r>
        <w:rPr>
          <w:kern w:val="18"/>
          <w:rtl w:val="0"/>
          <w:lang w:val="en-US"/>
        </w:rPr>
        <w:t xml:space="preserve">” </w:t>
      </w:r>
      <w:r>
        <w:rPr>
          <w:kern w:val="18"/>
          <w:rtl w:val="0"/>
          <w:lang w:val="en-US"/>
        </w:rPr>
        <w:t>Mexico City, Mexico, October 1-3, 2012</w:t>
      </w:r>
    </w:p>
    <w:p>
      <w:pPr>
        <w:pStyle w:val="Body Text 21"/>
        <w:spacing w:line="244" w:lineRule="auto"/>
        <w:jc w:val="left"/>
        <w:rPr>
          <w:kern w:val="18"/>
        </w:rPr>
      </w:pPr>
    </w:p>
    <w:p>
      <w:pPr>
        <w:pStyle w:val="Body Text 21"/>
        <w:spacing w:line="244" w:lineRule="auto"/>
        <w:jc w:val="left"/>
        <w:rPr>
          <w:kern w:val="18"/>
        </w:rPr>
      </w:pPr>
      <w:r>
        <w:rPr>
          <w:kern w:val="18"/>
          <w:rtl w:val="0"/>
          <w:lang w:val="en-US"/>
        </w:rPr>
        <w:t>Presenter and Panelist, Intersecting Worlds of FDA and Brazil, Food and Drug Law Institute, Sao Paulo, Brazil, September 11-12, 2012</w:t>
      </w:r>
    </w:p>
    <w:p>
      <w:pPr>
        <w:pStyle w:val="Body Text 21"/>
        <w:spacing w:line="244" w:lineRule="auto"/>
        <w:jc w:val="left"/>
        <w:rPr>
          <w:kern w:val="18"/>
        </w:rPr>
      </w:pPr>
    </w:p>
    <w:p>
      <w:pPr>
        <w:pStyle w:val="Body Text 21"/>
        <w:spacing w:line="244" w:lineRule="auto"/>
        <w:jc w:val="left"/>
        <w:rPr>
          <w:kern w:val="18"/>
        </w:rPr>
      </w:pPr>
      <w:r>
        <w:rPr>
          <w:kern w:val="18"/>
          <w:rtl w:val="0"/>
          <w:lang w:val="en-US"/>
        </w:rPr>
        <w:t>Speaker, American Association of Pharmaceutical Scientists (AAPS) Annual Meeting, Opportunities for Working with APEC Regulators (Washington, DC), Oct 24-27, 2011.</w:t>
      </w:r>
    </w:p>
    <w:p>
      <w:pPr>
        <w:pStyle w:val="Body Text 21"/>
        <w:spacing w:line="244" w:lineRule="auto"/>
        <w:jc w:val="left"/>
        <w:rPr>
          <w:kern w:val="18"/>
        </w:rPr>
      </w:pPr>
    </w:p>
    <w:p>
      <w:pPr>
        <w:pStyle w:val="Body Text 21"/>
        <w:spacing w:line="244" w:lineRule="auto"/>
        <w:jc w:val="left"/>
        <w:rPr>
          <w:kern w:val="18"/>
        </w:rPr>
      </w:pPr>
      <w:r>
        <w:rPr>
          <w:kern w:val="18"/>
          <w:rtl w:val="0"/>
          <w:lang w:val="en-US"/>
        </w:rPr>
        <w:t>Panelist, The Burrill Pan-Asia Life Sciences Meeting (Washington, DC), June 26, 2011</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Korea Health Industry and Development Institute Columbus Project (Seoul, Korea), </w:t>
      </w:r>
      <w:r>
        <w:rPr>
          <w:kern w:val="18"/>
          <w:rtl w:val="0"/>
          <w:lang w:val="en-US"/>
        </w:rPr>
        <w:t>“</w:t>
      </w:r>
      <w:r>
        <w:rPr>
          <w:kern w:val="18"/>
          <w:rtl w:val="0"/>
          <w:lang w:val="en-US"/>
        </w:rPr>
        <w:t>Regulatory and Commercialization Strategies of Drugs and Devices in the US,</w:t>
      </w:r>
      <w:r>
        <w:rPr>
          <w:kern w:val="18"/>
          <w:rtl w:val="0"/>
          <w:lang w:val="en-US"/>
        </w:rPr>
        <w:t xml:space="preserve">” </w:t>
      </w:r>
      <w:r>
        <w:rPr>
          <w:kern w:val="18"/>
          <w:rtl w:val="0"/>
          <w:lang w:val="en-US"/>
        </w:rPr>
        <w:t>June 13-14, 2011</w:t>
      </w:r>
    </w:p>
    <w:p>
      <w:pPr>
        <w:pStyle w:val="Body Text 21"/>
        <w:spacing w:line="244" w:lineRule="auto"/>
        <w:jc w:val="left"/>
        <w:rPr>
          <w:kern w:val="18"/>
        </w:rPr>
      </w:pPr>
      <w:r>
        <w:rPr>
          <w:kern w:val="18"/>
          <w:rtl w:val="0"/>
          <w:lang w:val="en-US"/>
        </w:rPr>
        <w:t xml:space="preserve">Presenter, VIBPharma Conference on Packaging and Labeling (Washington DC), </w:t>
      </w:r>
      <w:r>
        <w:rPr>
          <w:kern w:val="18"/>
          <w:rtl w:val="0"/>
          <w:lang w:val="en-US"/>
        </w:rPr>
        <w:t>“</w:t>
      </w:r>
      <w:r>
        <w:rPr>
          <w:kern w:val="18"/>
          <w:rtl w:val="0"/>
          <w:lang w:val="en-US"/>
        </w:rPr>
        <w:t>PhRMA Efforts on e-Labeling and Track-and-Trace Initiatives,</w:t>
      </w:r>
      <w:r>
        <w:rPr>
          <w:kern w:val="18"/>
          <w:rtl w:val="0"/>
          <w:lang w:val="en-US"/>
        </w:rPr>
        <w:t xml:space="preserve">” </w:t>
      </w:r>
      <w:r>
        <w:rPr>
          <w:kern w:val="18"/>
          <w:rtl w:val="0"/>
          <w:lang w:val="en-US"/>
        </w:rPr>
        <w:t>April, 2011.</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Panelist, DIA Conference (Bethesda, MD) </w:t>
      </w:r>
      <w:r>
        <w:rPr>
          <w:kern w:val="18"/>
          <w:rtl w:val="0"/>
          <w:lang w:val="en-US"/>
        </w:rPr>
        <w:t>“</w:t>
      </w:r>
      <w:r>
        <w:rPr>
          <w:rtl w:val="0"/>
          <w:lang w:val="en-US"/>
        </w:rPr>
        <w:t>Ensuring Quality and Balancing Risks for Multiregional Clinical Trials: Statistical, Clinical, Regulatory, and Ethical Factors</w:t>
      </w:r>
      <w:r>
        <w:rPr>
          <w:rtl w:val="0"/>
          <w:lang w:val="en-US"/>
        </w:rPr>
        <w:t>”</w:t>
      </w:r>
      <w:r>
        <w:rPr>
          <w:kern w:val="18"/>
          <w:rtl w:val="0"/>
          <w:lang w:val="en-US"/>
        </w:rPr>
        <w:t>, October, 2010.</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The Conference Forum on Global Clinical Trials (Washington, DC), </w:t>
      </w:r>
      <w:r>
        <w:rPr>
          <w:kern w:val="18"/>
          <w:rtl w:val="0"/>
          <w:lang w:val="en-US"/>
        </w:rPr>
        <w:t>“</w:t>
      </w:r>
      <w:r>
        <w:rPr>
          <w:kern w:val="18"/>
          <w:rtl w:val="0"/>
          <w:lang w:val="en-US"/>
        </w:rPr>
        <w:t>Efforts to Resolve International Regulatory Barriers to Simultaneous Global Development,</w:t>
      </w:r>
      <w:r>
        <w:rPr>
          <w:kern w:val="18"/>
          <w:rtl w:val="0"/>
          <w:lang w:val="en-US"/>
        </w:rPr>
        <w:t xml:space="preserve">” </w:t>
      </w:r>
      <w:r>
        <w:rPr>
          <w:kern w:val="18"/>
          <w:rtl w:val="0"/>
          <w:lang w:val="en-US"/>
        </w:rPr>
        <w:t>September, 2010</w:t>
      </w:r>
    </w:p>
    <w:p>
      <w:pPr>
        <w:pStyle w:val="Body Text 21"/>
        <w:spacing w:line="244" w:lineRule="auto"/>
        <w:jc w:val="left"/>
        <w:rPr>
          <w:kern w:val="18"/>
        </w:rPr>
      </w:pPr>
    </w:p>
    <w:p>
      <w:pPr>
        <w:pStyle w:val="Body Text 21"/>
        <w:spacing w:line="244" w:lineRule="auto"/>
        <w:jc w:val="left"/>
        <w:rPr>
          <w:kern w:val="18"/>
        </w:rPr>
      </w:pPr>
      <w:r>
        <w:rPr>
          <w:kern w:val="18"/>
          <w:rtl w:val="0"/>
          <w:lang w:val="en-US"/>
        </w:rPr>
        <w:t>Presenter, 46</w:t>
      </w:r>
      <w:r>
        <w:rPr>
          <w:kern w:val="18"/>
          <w:vertAlign w:val="superscript"/>
          <w:rtl w:val="0"/>
          <w:lang w:val="en-US"/>
        </w:rPr>
        <w:t>th</w:t>
      </w:r>
      <w:r>
        <w:rPr>
          <w:kern w:val="18"/>
          <w:rtl w:val="0"/>
          <w:lang w:val="en-US"/>
        </w:rPr>
        <w:t xml:space="preserve"> DIA Annual Meeting (Washington, DC), </w:t>
      </w:r>
      <w:r>
        <w:rPr>
          <w:kern w:val="18"/>
          <w:rtl w:val="0"/>
          <w:lang w:val="en-US"/>
        </w:rPr>
        <w:t>“</w:t>
      </w:r>
      <w:r>
        <w:rPr>
          <w:kern w:val="18"/>
          <w:rtl w:val="0"/>
          <w:lang w:val="en-US"/>
        </w:rPr>
        <w:t>Drug Counterfeits: Industry Views and Actions,</w:t>
      </w:r>
      <w:r>
        <w:rPr>
          <w:kern w:val="18"/>
          <w:rtl w:val="0"/>
          <w:lang w:val="en-US"/>
        </w:rPr>
        <w:t xml:space="preserve">” </w:t>
      </w:r>
      <w:r>
        <w:rPr>
          <w:kern w:val="18"/>
          <w:rtl w:val="0"/>
          <w:lang w:val="en-US"/>
        </w:rPr>
        <w:t>June, 2010</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Keynote Speaker and Presenter, APEC Pharmaceutical Supply Chain Workshop (Seoul, Korea), </w:t>
      </w:r>
      <w:r>
        <w:rPr>
          <w:kern w:val="18"/>
          <w:rtl w:val="0"/>
          <w:lang w:val="en-US"/>
        </w:rPr>
        <w:t>“</w:t>
      </w:r>
      <w:r>
        <w:rPr>
          <w:kern w:val="18"/>
          <w:rtl w:val="0"/>
          <w:lang w:val="en-US"/>
        </w:rPr>
        <w:t>EFPIA Supply Chain Pilot,</w:t>
      </w:r>
      <w:r>
        <w:rPr>
          <w:kern w:val="18"/>
          <w:rtl w:val="0"/>
          <w:lang w:val="en-US"/>
        </w:rPr>
        <w:t xml:space="preserve">” </w:t>
      </w:r>
      <w:r>
        <w:rPr>
          <w:kern w:val="18"/>
          <w:rtl w:val="0"/>
          <w:lang w:val="en-US"/>
        </w:rPr>
        <w:t>May, 2010</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Planning Committee Member, Speaker and Session Chair, DIA 2nd Latin American Regulatory Conference (Mexico City, Mexico), </w:t>
      </w:r>
      <w:r>
        <w:rPr>
          <w:kern w:val="18"/>
          <w:rtl w:val="0"/>
          <w:lang w:val="en-US"/>
        </w:rPr>
        <w:t>“</w:t>
      </w:r>
      <w:r>
        <w:rPr>
          <w:kern w:val="18"/>
          <w:rtl w:val="0"/>
          <w:lang w:val="en-US"/>
        </w:rPr>
        <w:t>Simultaneous Global Development,</w:t>
      </w:r>
      <w:r>
        <w:rPr>
          <w:kern w:val="18"/>
          <w:rtl w:val="0"/>
          <w:lang w:val="en-US"/>
        </w:rPr>
        <w:t xml:space="preserve">” </w:t>
      </w:r>
      <w:r>
        <w:rPr>
          <w:kern w:val="18"/>
          <w:rtl w:val="0"/>
          <w:lang w:val="en-US"/>
        </w:rPr>
        <w:t>November, 2009</w:t>
      </w:r>
    </w:p>
    <w:p>
      <w:pPr>
        <w:pStyle w:val="Body Text 21"/>
        <w:spacing w:line="244" w:lineRule="auto"/>
        <w:jc w:val="left"/>
        <w:rPr>
          <w:kern w:val="18"/>
        </w:rPr>
      </w:pPr>
    </w:p>
    <w:p>
      <w:pPr>
        <w:pStyle w:val="Body Text 21"/>
        <w:spacing w:line="244" w:lineRule="auto"/>
        <w:jc w:val="left"/>
        <w:rPr>
          <w:kern w:val="18"/>
        </w:rPr>
      </w:pPr>
      <w:r>
        <w:rPr>
          <w:kern w:val="18"/>
          <w:rtl w:val="0"/>
          <w:lang w:val="en-US"/>
        </w:rPr>
        <w:t>Presenter, 45</w:t>
      </w:r>
      <w:r>
        <w:rPr>
          <w:kern w:val="18"/>
          <w:vertAlign w:val="superscript"/>
          <w:rtl w:val="0"/>
          <w:lang w:val="en-US"/>
        </w:rPr>
        <w:t>th</w:t>
      </w:r>
      <w:r>
        <w:rPr>
          <w:kern w:val="18"/>
          <w:rtl w:val="0"/>
          <w:lang w:val="en-US"/>
        </w:rPr>
        <w:t xml:space="preserve"> DIA Annual Meeting (San Diego, California), </w:t>
      </w:r>
      <w:r>
        <w:rPr>
          <w:kern w:val="18"/>
          <w:rtl w:val="0"/>
          <w:lang w:val="en-US"/>
        </w:rPr>
        <w:t>“</w:t>
      </w:r>
      <w:r>
        <w:rPr>
          <w:kern w:val="18"/>
          <w:rtl w:val="0"/>
          <w:lang w:val="en-US"/>
        </w:rPr>
        <w:t>Industry Efforts to Resolve International Regulatory Barriers to Simultaneous Global Development,</w:t>
      </w:r>
      <w:r>
        <w:rPr>
          <w:kern w:val="18"/>
          <w:rtl w:val="0"/>
          <w:lang w:val="en-US"/>
        </w:rPr>
        <w:t xml:space="preserve">” </w:t>
      </w:r>
      <w:r>
        <w:rPr>
          <w:kern w:val="18"/>
          <w:rtl w:val="0"/>
          <w:lang w:val="en-US"/>
        </w:rPr>
        <w:t>June, 2009</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Planning Committee Member, Presenter, 2009 Inaugural Workshop of the APEC Harmonization Center, Multi-Regional Clinical Trials (Seoul, Korea), </w:t>
      </w:r>
      <w:r>
        <w:rPr>
          <w:kern w:val="18"/>
          <w:rtl w:val="0"/>
          <w:lang w:val="en-US"/>
        </w:rPr>
        <w:t>“</w:t>
      </w:r>
      <w:r>
        <w:rPr>
          <w:kern w:val="18"/>
          <w:rtl w:val="0"/>
          <w:lang w:val="en-US"/>
        </w:rPr>
        <w:t>Industry Efforts to Resolve International Regulatory Barriers to Simultaneous Global Development,</w:t>
      </w:r>
      <w:r>
        <w:rPr>
          <w:kern w:val="18"/>
          <w:rtl w:val="0"/>
          <w:lang w:val="en-US"/>
        </w:rPr>
        <w:t xml:space="preserve">” </w:t>
      </w:r>
      <w:r>
        <w:rPr>
          <w:kern w:val="18"/>
          <w:rtl w:val="0"/>
          <w:lang w:val="en-US"/>
        </w:rPr>
        <w:t>June, 2009</w:t>
      </w:r>
    </w:p>
    <w:p>
      <w:pPr>
        <w:pStyle w:val="Body Text 21"/>
        <w:spacing w:line="244" w:lineRule="auto"/>
        <w:jc w:val="left"/>
        <w:rPr>
          <w:kern w:val="18"/>
        </w:rPr>
      </w:pPr>
    </w:p>
    <w:p>
      <w:pPr>
        <w:pStyle w:val="Body Text 21"/>
        <w:spacing w:line="244" w:lineRule="auto"/>
        <w:jc w:val="left"/>
        <w:rPr>
          <w:kern w:val="18"/>
        </w:rPr>
      </w:pPr>
      <w:r>
        <w:rPr>
          <w:kern w:val="18"/>
          <w:rtl w:val="0"/>
          <w:lang w:val="en-US"/>
        </w:rPr>
        <w:t>Keynote Speaker, International Workshop on Drug Clinical Trials (He Bei, China), June, 2009</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PhRMA Asia Managers Annual Conference (Singapore, Singapore), </w:t>
      </w:r>
      <w:r>
        <w:rPr>
          <w:kern w:val="18"/>
          <w:rtl w:val="0"/>
          <w:lang w:val="en-US"/>
        </w:rPr>
        <w:t>“</w:t>
      </w:r>
      <w:r>
        <w:rPr>
          <w:kern w:val="18"/>
          <w:rtl w:val="0"/>
          <w:lang w:val="en-US"/>
        </w:rPr>
        <w:t>Simultaneous Global Development in Asia,</w:t>
      </w:r>
      <w:r>
        <w:rPr>
          <w:kern w:val="18"/>
          <w:rtl w:val="0"/>
          <w:lang w:val="en-US"/>
        </w:rPr>
        <w:t xml:space="preserve">” </w:t>
      </w:r>
      <w:r>
        <w:rPr>
          <w:kern w:val="18"/>
          <w:rtl w:val="0"/>
          <w:lang w:val="en-US"/>
        </w:rPr>
        <w:t>January, 2009</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2008 APEC Regulatory Science Symposium, LSIF (Taipei, Taiwan), </w:t>
      </w:r>
      <w:r>
        <w:rPr>
          <w:kern w:val="18"/>
          <w:rtl w:val="0"/>
          <w:lang w:val="en-US"/>
        </w:rPr>
        <w:t>“</w:t>
      </w:r>
      <w:r>
        <w:rPr>
          <w:kern w:val="18"/>
          <w:rtl w:val="0"/>
          <w:lang w:val="en-US"/>
        </w:rPr>
        <w:t>Industry Efforts to Resolve International Regulatory Barriers to Simultaneous Global Development,</w:t>
      </w:r>
      <w:r>
        <w:rPr>
          <w:kern w:val="18"/>
          <w:rtl w:val="0"/>
          <w:lang w:val="en-US"/>
        </w:rPr>
        <w:t xml:space="preserve">” </w:t>
      </w:r>
      <w:r>
        <w:rPr>
          <w:kern w:val="18"/>
          <w:rtl w:val="0"/>
          <w:lang w:val="en-US"/>
        </w:rPr>
        <w:t>November, 2008</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2008 International Summit on New Drug R&amp;D Policy and Practice (Shijazhuang, China), </w:t>
      </w:r>
      <w:r>
        <w:rPr>
          <w:kern w:val="18"/>
          <w:rtl w:val="0"/>
          <w:lang w:val="en-US"/>
        </w:rPr>
        <w:t>“</w:t>
      </w:r>
      <w:r>
        <w:rPr>
          <w:kern w:val="18"/>
          <w:rtl w:val="0"/>
          <w:lang w:val="en-US"/>
        </w:rPr>
        <w:t>New Drug Approval Requirements in the US),</w:t>
      </w:r>
      <w:r>
        <w:rPr>
          <w:kern w:val="18"/>
          <w:rtl w:val="0"/>
          <w:lang w:val="en-US"/>
        </w:rPr>
        <w:t xml:space="preserve">” </w:t>
      </w:r>
      <w:r>
        <w:rPr>
          <w:kern w:val="18"/>
          <w:rtl w:val="0"/>
          <w:lang w:val="en-US"/>
        </w:rPr>
        <w:t>October, 2008</w:t>
      </w:r>
    </w:p>
    <w:p>
      <w:pPr>
        <w:pStyle w:val="Body Text 21"/>
        <w:spacing w:line="244" w:lineRule="auto"/>
        <w:jc w:val="left"/>
        <w:rPr>
          <w:kern w:val="18"/>
        </w:rPr>
      </w:pPr>
    </w:p>
    <w:p>
      <w:pPr>
        <w:pStyle w:val="Body Text 21"/>
        <w:spacing w:line="244" w:lineRule="auto"/>
        <w:jc w:val="left"/>
        <w:rPr>
          <w:kern w:val="18"/>
        </w:rPr>
      </w:pPr>
      <w:r>
        <w:rPr>
          <w:kern w:val="18"/>
          <w:rtl w:val="0"/>
          <w:lang w:val="en-US"/>
        </w:rPr>
        <w:t>Planning Committee Member, Speaker and Moderator, DIA 1</w:t>
      </w:r>
      <w:r>
        <w:rPr>
          <w:kern w:val="18"/>
          <w:vertAlign w:val="superscript"/>
          <w:rtl w:val="0"/>
          <w:lang w:val="en-US"/>
        </w:rPr>
        <w:t>st</w:t>
      </w:r>
      <w:r>
        <w:rPr>
          <w:kern w:val="18"/>
          <w:rtl w:val="0"/>
          <w:lang w:val="en-US"/>
        </w:rPr>
        <w:t xml:space="preserve"> Latin American Regulatory Conference (Mexico City, Mexico), </w:t>
      </w:r>
      <w:r>
        <w:rPr>
          <w:kern w:val="18"/>
          <w:rtl w:val="0"/>
          <w:lang w:val="en-US"/>
        </w:rPr>
        <w:t>“</w:t>
      </w:r>
      <w:r>
        <w:rPr>
          <w:kern w:val="18"/>
          <w:rtl w:val="0"/>
          <w:lang w:val="en-US"/>
        </w:rPr>
        <w:t>Rational Use of the Certificate of Pharmaceutical Product,</w:t>
      </w:r>
      <w:r>
        <w:rPr>
          <w:kern w:val="18"/>
          <w:rtl w:val="0"/>
          <w:lang w:val="en-US"/>
        </w:rPr>
        <w:t xml:space="preserve">” </w:t>
      </w:r>
      <w:r>
        <w:rPr>
          <w:kern w:val="18"/>
          <w:rtl w:val="0"/>
          <w:lang w:val="en-US"/>
        </w:rPr>
        <w:t>May, 2008</w:t>
      </w:r>
    </w:p>
    <w:p>
      <w:pPr>
        <w:pStyle w:val="Body Text 21"/>
        <w:spacing w:line="244" w:lineRule="auto"/>
        <w:jc w:val="left"/>
        <w:rPr>
          <w:kern w:val="18"/>
        </w:rPr>
      </w:pPr>
    </w:p>
    <w:p>
      <w:pPr>
        <w:pStyle w:val="Body Text 21"/>
        <w:spacing w:line="244" w:lineRule="auto"/>
        <w:jc w:val="left"/>
        <w:rPr>
          <w:kern w:val="18"/>
        </w:rPr>
      </w:pPr>
      <w:r>
        <w:rPr>
          <w:kern w:val="18"/>
          <w:rtl w:val="0"/>
          <w:lang w:val="en-US"/>
        </w:rPr>
        <w:t>Presenter and Moderator, IFPMA 5</w:t>
      </w:r>
      <w:r>
        <w:rPr>
          <w:kern w:val="18"/>
          <w:vertAlign w:val="superscript"/>
          <w:rtl w:val="0"/>
          <w:lang w:val="en-US"/>
        </w:rPr>
        <w:t>th</w:t>
      </w:r>
      <w:r>
        <w:rPr>
          <w:kern w:val="18"/>
          <w:rtl w:val="0"/>
          <w:lang w:val="en-US"/>
        </w:rPr>
        <w:t xml:space="preserve"> Asian Regulatory Regulatory Conference (Kuala Lumpur, Malaysia), </w:t>
      </w:r>
      <w:r>
        <w:rPr>
          <w:kern w:val="18"/>
          <w:rtl w:val="0"/>
          <w:lang w:val="en-US"/>
        </w:rPr>
        <w:t>“</w:t>
      </w:r>
      <w:r>
        <w:rPr>
          <w:kern w:val="18"/>
          <w:rtl w:val="0"/>
          <w:lang w:val="en-US"/>
        </w:rPr>
        <w:t>The Attractiveness of the Asian Market,</w:t>
      </w:r>
      <w:r>
        <w:rPr>
          <w:kern w:val="18"/>
          <w:rtl w:val="0"/>
          <w:lang w:val="en-US"/>
        </w:rPr>
        <w:t xml:space="preserve">” </w:t>
      </w:r>
      <w:r>
        <w:rPr>
          <w:kern w:val="18"/>
          <w:rtl w:val="0"/>
          <w:lang w:val="en-US"/>
        </w:rPr>
        <w:t>March, 2008</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PhRMA European Local Area Working Group Annual Meeting (Berlin, Germany), </w:t>
      </w:r>
      <w:r>
        <w:rPr>
          <w:kern w:val="18"/>
          <w:rtl w:val="0"/>
          <w:lang w:val="en-US"/>
        </w:rPr>
        <w:t>“</w:t>
      </w:r>
      <w:r>
        <w:rPr>
          <w:kern w:val="18"/>
          <w:rtl w:val="0"/>
          <w:lang w:val="en-US"/>
        </w:rPr>
        <w:t>TransAtlantic Administrative Simplification,</w:t>
      </w:r>
      <w:r>
        <w:rPr>
          <w:kern w:val="18"/>
          <w:rtl w:val="0"/>
          <w:lang w:val="en-US"/>
        </w:rPr>
        <w:t xml:space="preserve">” </w:t>
      </w:r>
      <w:r>
        <w:rPr>
          <w:kern w:val="18"/>
          <w:rtl w:val="0"/>
          <w:lang w:val="en-US"/>
        </w:rPr>
        <w:t>February, 2008</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Interphex, API China (Shenzhen, China), </w:t>
      </w:r>
      <w:r>
        <w:rPr>
          <w:kern w:val="18"/>
          <w:rtl w:val="0"/>
          <w:lang w:val="en-US"/>
        </w:rPr>
        <w:t xml:space="preserve">“ </w:t>
      </w:r>
      <w:r>
        <w:rPr>
          <w:kern w:val="18"/>
          <w:rtl w:val="0"/>
          <w:lang w:val="en-US"/>
        </w:rPr>
        <w:t>Select Drug Approval Requirements of the US FDA Under Hatch-Waxman,</w:t>
      </w:r>
      <w:r>
        <w:rPr>
          <w:kern w:val="18"/>
          <w:rtl w:val="0"/>
          <w:lang w:val="en-US"/>
        </w:rPr>
        <w:t xml:space="preserve">” </w:t>
      </w:r>
      <w:r>
        <w:rPr>
          <w:kern w:val="18"/>
          <w:rtl w:val="0"/>
          <w:lang w:val="en-US"/>
        </w:rPr>
        <w:t>November, 2007</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Moderator, APEC Life Science Innovation Forum (Seoul, Korea), </w:t>
      </w:r>
      <w:r>
        <w:rPr>
          <w:kern w:val="18"/>
          <w:rtl w:val="0"/>
          <w:lang w:val="en-US"/>
        </w:rPr>
        <w:t>“</w:t>
      </w:r>
      <w:r>
        <w:rPr>
          <w:kern w:val="18"/>
          <w:rtl w:val="0"/>
          <w:lang w:val="en-US"/>
        </w:rPr>
        <w:t>ICH Q8, Q9, and Q10,</w:t>
      </w:r>
      <w:r>
        <w:rPr>
          <w:kern w:val="18"/>
          <w:rtl w:val="0"/>
          <w:lang w:val="en-US"/>
        </w:rPr>
        <w:t>”</w:t>
      </w:r>
    </w:p>
    <w:p>
      <w:pPr>
        <w:pStyle w:val="Body Text 21"/>
        <w:spacing w:line="244" w:lineRule="auto"/>
        <w:jc w:val="left"/>
        <w:rPr>
          <w:kern w:val="18"/>
        </w:rPr>
      </w:pPr>
      <w:r>
        <w:rPr>
          <w:kern w:val="18"/>
          <w:rtl w:val="0"/>
          <w:lang w:val="en-US"/>
        </w:rPr>
        <w:t xml:space="preserve"> September, 2007</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AFMC International Medicinal Chemistry Symposium (Istanbul, Turkey), </w:t>
      </w:r>
      <w:r>
        <w:rPr>
          <w:kern w:val="18"/>
          <w:rtl w:val="0"/>
          <w:lang w:val="en-US"/>
        </w:rPr>
        <w:t>“</w:t>
      </w:r>
      <w:r>
        <w:rPr>
          <w:kern w:val="18"/>
          <w:rtl w:val="0"/>
          <w:lang w:val="en-US"/>
        </w:rPr>
        <w:t>Intersection of Regulatory Requirements and Intellectual Property,</w:t>
      </w:r>
      <w:r>
        <w:rPr>
          <w:kern w:val="18"/>
          <w:rtl w:val="0"/>
          <w:lang w:val="en-US"/>
        </w:rPr>
        <w:t xml:space="preserve">” </w:t>
      </w:r>
      <w:r>
        <w:rPr>
          <w:kern w:val="18"/>
          <w:rtl w:val="0"/>
          <w:lang w:val="en-US"/>
        </w:rPr>
        <w:t>July, 2007</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Japan Pharma and Biotech Forum (London, England) </w:t>
      </w:r>
      <w:r>
        <w:rPr>
          <w:kern w:val="18"/>
          <w:rtl w:val="0"/>
          <w:lang w:val="en-US"/>
        </w:rPr>
        <w:t>“</w:t>
      </w:r>
      <w:r>
        <w:rPr>
          <w:kern w:val="18"/>
          <w:rtl w:val="0"/>
          <w:lang w:val="en-US"/>
        </w:rPr>
        <w:t>Intersection of Regulatory Requirements and Intellectual Property,</w:t>
      </w:r>
      <w:r>
        <w:rPr>
          <w:kern w:val="18"/>
          <w:rtl w:val="0"/>
          <w:lang w:val="en-US"/>
        </w:rPr>
        <w:t xml:space="preserve">” </w:t>
      </w:r>
      <w:r>
        <w:rPr>
          <w:kern w:val="18"/>
          <w:rtl w:val="0"/>
          <w:lang w:val="en-US"/>
        </w:rPr>
        <w:t>June, 2007</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BioResearch Monitoring Committee, PhRMA, </w:t>
      </w:r>
      <w:r>
        <w:rPr>
          <w:kern w:val="18"/>
          <w:rtl w:val="0"/>
          <w:lang w:val="en-US"/>
        </w:rPr>
        <w:t>“</w:t>
      </w:r>
      <w:r>
        <w:rPr>
          <w:kern w:val="18"/>
          <w:rtl w:val="0"/>
          <w:lang w:val="en-US"/>
        </w:rPr>
        <w:t>International Regulatory Affairs Update,</w:t>
      </w:r>
      <w:r>
        <w:rPr>
          <w:kern w:val="18"/>
          <w:rtl w:val="0"/>
          <w:lang w:val="en-US"/>
        </w:rPr>
        <w:t xml:space="preserve">” </w:t>
      </w:r>
      <w:r>
        <w:rPr>
          <w:kern w:val="18"/>
          <w:rtl w:val="0"/>
          <w:lang w:val="en-US"/>
        </w:rPr>
        <w:t>March, 2007</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Asia Managers Conference and Seminar (Hong Kong), </w:t>
      </w:r>
      <w:r>
        <w:rPr>
          <w:kern w:val="18"/>
          <w:rtl w:val="0"/>
          <w:lang w:val="en-US"/>
        </w:rPr>
        <w:t>“</w:t>
      </w:r>
      <w:r>
        <w:rPr>
          <w:kern w:val="18"/>
          <w:rtl w:val="0"/>
          <w:lang w:val="en-US"/>
        </w:rPr>
        <w:t>Asia-Pacific Regulatory Update,</w:t>
      </w:r>
      <w:r>
        <w:rPr>
          <w:kern w:val="18"/>
          <w:rtl w:val="0"/>
          <w:lang w:val="en-US"/>
        </w:rPr>
        <w:t xml:space="preserve">” </w:t>
      </w:r>
      <w:r>
        <w:rPr>
          <w:kern w:val="18"/>
          <w:rtl w:val="0"/>
          <w:lang w:val="en-US"/>
        </w:rPr>
        <w:t>December, 2006</w:t>
      </w:r>
    </w:p>
    <w:p>
      <w:pPr>
        <w:pStyle w:val="Body Text 21"/>
        <w:spacing w:line="244" w:lineRule="auto"/>
        <w:jc w:val="left"/>
        <w:rPr>
          <w:kern w:val="18"/>
        </w:rPr>
      </w:pPr>
    </w:p>
    <w:p>
      <w:pPr>
        <w:pStyle w:val="Body Text 21"/>
        <w:spacing w:line="244" w:lineRule="auto"/>
        <w:jc w:val="left"/>
        <w:rPr>
          <w:kern w:val="18"/>
        </w:rPr>
      </w:pPr>
      <w:r>
        <w:rPr>
          <w:kern w:val="18"/>
          <w:rtl w:val="0"/>
          <w:lang w:val="en-US"/>
        </w:rPr>
        <w:t xml:space="preserve">Presenter, Clinical Trials Forum (Beijing, China), </w:t>
      </w:r>
      <w:r>
        <w:rPr>
          <w:kern w:val="18"/>
          <w:rtl w:val="0"/>
          <w:lang w:val="en-US"/>
        </w:rPr>
        <w:t>“</w:t>
      </w:r>
      <w:r>
        <w:rPr>
          <w:kern w:val="18"/>
          <w:rtl w:val="0"/>
          <w:lang w:val="en-US"/>
        </w:rPr>
        <w:t>Clinical Trial Requirements in the United States,</w:t>
      </w:r>
      <w:r>
        <w:rPr>
          <w:kern w:val="18"/>
          <w:rtl w:val="0"/>
          <w:lang w:val="en-US"/>
        </w:rPr>
        <w:t xml:space="preserve">” </w:t>
      </w:r>
      <w:r>
        <w:rPr>
          <w:kern w:val="18"/>
          <w:rtl w:val="0"/>
          <w:lang w:val="en-US"/>
        </w:rPr>
        <w:t>September, 2006</w:t>
      </w:r>
    </w:p>
    <w:p>
      <w:pPr>
        <w:pStyle w:val="Body Text 21"/>
        <w:spacing w:line="244" w:lineRule="auto"/>
        <w:jc w:val="left"/>
        <w:rPr>
          <w:kern w:val="18"/>
        </w:rPr>
      </w:pPr>
    </w:p>
    <w:p>
      <w:pPr>
        <w:pStyle w:val="Body Text 21"/>
        <w:spacing w:line="244" w:lineRule="auto"/>
        <w:jc w:val="left"/>
      </w:pPr>
      <w:r>
        <w:rPr>
          <w:kern w:val="18"/>
          <w:rtl w:val="0"/>
          <w:lang w:val="en-US"/>
        </w:rPr>
        <w:t xml:space="preserve">Speaker, KSTC/ICC Directors, </w:t>
      </w:r>
      <w:r>
        <w:rPr>
          <w:kern w:val="18"/>
          <w:rtl w:val="0"/>
          <w:lang w:val="en-US"/>
        </w:rPr>
        <w:t>“</w:t>
      </w:r>
      <w:r>
        <w:rPr>
          <w:kern w:val="18"/>
          <w:rtl w:val="0"/>
          <w:lang w:val="en-US"/>
        </w:rPr>
        <w:t>Good Clinical Practices and Drug Approval Requirements,</w:t>
      </w:r>
      <w:r>
        <w:rPr>
          <w:kern w:val="18"/>
          <w:rtl w:val="0"/>
          <w:lang w:val="en-US"/>
        </w:rPr>
        <w:t xml:space="preserve">” </w:t>
      </w:r>
      <w:r>
        <w:rPr>
          <w:kern w:val="18"/>
          <w:rtl w:val="0"/>
          <w:lang w:val="en-US"/>
        </w:rPr>
        <w:t>July, 2004.</w:t>
      </w:r>
    </w:p>
    <w:sectPr>
      <w:headerReference w:type="default" r:id="rId10"/>
      <w:headerReference w:type="even" r:id="rId11"/>
      <w:headerReference w:type="first" r:id="rId12"/>
      <w:footerReference w:type="default" r:id="rId13"/>
      <w:footerReference w:type="even" r:id="rId14"/>
      <w:footerReference w:type="first" r:id="rId15"/>
      <w:pgSz w:w="12240" w:h="15840" w:orient="portrait"/>
      <w:pgMar w:top="1152" w:right="1440" w:bottom="1170" w:left="1440" w:header="1152" w:footer="1440"/>
      <w:pgNumType w:start="2"/>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urier">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1"/>
      <w:tabs>
        <w:tab w:val="center" w:pos="1910"/>
        <w:tab w:val="right" w:pos="2140"/>
        <w:tab w:val="clear" w:pos="4320"/>
        <w:tab w:val="clear" w:pos="8640"/>
      </w:tabs>
      <w:ind w:right="36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6855456</wp:posOffset>
              </wp:positionH>
              <wp:positionV relativeFrom="page">
                <wp:posOffset>730250</wp:posOffset>
              </wp:positionV>
              <wp:extent cx="3033398" cy="180340"/>
              <wp:effectExtent l="0" t="0" r="0" b="0"/>
              <wp:wrapNone/>
              <wp:docPr id="1073741825" name="officeArt object" descr="officeArt object"/>
              <wp:cNvGraphicFramePr/>
              <a:graphic xmlns:a="http://schemas.openxmlformats.org/drawingml/2006/main">
                <a:graphicData uri="http://schemas.microsoft.com/office/word/2010/wordprocessingShape">
                  <wps:wsp>
                    <wps:cNvSpPr/>
                    <wps:spPr>
                      <a:xfrm>
                        <a:off x="0" y="0"/>
                        <a:ext cx="3033398" cy="180340"/>
                      </a:xfrm>
                      <a:prstGeom prst="rect">
                        <a:avLst/>
                      </a:prstGeom>
                      <a:solidFill>
                        <a:srgbClr val="FFFFFF"/>
                      </a:solidFill>
                      <a:ln w="12700" cap="flat">
                        <a:noFill/>
                        <a:miter lim="400000"/>
                      </a:ln>
                      <a:effectLst/>
                    </wps:spPr>
                    <wps:txbx>
                      <w:txbxContent>
                        <w:p>
                          <w:pPr>
                            <w:pStyle w:val="Header1"/>
                          </w:pPr>
                          <w:r>
                            <w:tab/>
                          </w:r>
                        </w:p>
                      </w:txbxContent>
                    </wps:txbx>
                    <wps:bodyPr wrap="square" lIns="0" tIns="0" rIns="0" bIns="0" numCol="1" anchor="t">
                      <a:noAutofit/>
                    </wps:bodyPr>
                  </wps:wsp>
                </a:graphicData>
              </a:graphic>
            </wp:anchor>
          </w:drawing>
        </mc:Choice>
        <mc:Fallback>
          <w:pict>
            <v:rect id="_x0000_s1026" style="visibility:visible;position:absolute;margin-left:539.8pt;margin-top:57.5pt;width:238.9pt;height:14.2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Header1"/>
                    </w:pPr>
                    <w:r>
                      <w:tab/>
                    </w:r>
                  </w:p>
                </w:txbxContent>
              </v:textbox>
              <w10:wrap type="none" side="bothSides" anchorx="page" anchory="page"/>
            </v:rect>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1"/>
      <w:tabs>
        <w:tab w:val="center" w:pos="1910"/>
        <w:tab w:val="right" w:pos="2140"/>
        <w:tab w:val="clear" w:pos="4320"/>
        <w:tab w:val="clear" w:pos="8640"/>
      </w:tabs>
      <w:ind w:right="36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6855456</wp:posOffset>
              </wp:positionH>
              <wp:positionV relativeFrom="page">
                <wp:posOffset>730250</wp:posOffset>
              </wp:positionV>
              <wp:extent cx="3033398" cy="180340"/>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3033398" cy="180340"/>
                      </a:xfrm>
                      <a:prstGeom prst="rect">
                        <a:avLst/>
                      </a:prstGeom>
                      <a:solidFill>
                        <a:srgbClr val="FFFFFF"/>
                      </a:solidFill>
                      <a:ln w="12700" cap="flat">
                        <a:noFill/>
                        <a:miter lim="400000"/>
                      </a:ln>
                      <a:effectLst/>
                    </wps:spPr>
                    <wps:txbx>
                      <w:txbxContent>
                        <w:p>
                          <w:pPr>
                            <w:pStyle w:val="Header1"/>
                          </w:pPr>
                          <w:r>
                            <w:tab/>
                          </w:r>
                        </w:p>
                      </w:txbxContent>
                    </wps:txbx>
                    <wps:bodyPr wrap="square" lIns="0" tIns="0" rIns="0" bIns="0" numCol="1" anchor="t">
                      <a:noAutofit/>
                    </wps:bodyPr>
                  </wps:wsp>
                </a:graphicData>
              </a:graphic>
            </wp:anchor>
          </w:drawing>
        </mc:Choice>
        <mc:Fallback>
          <w:pict>
            <v:rect id="_x0000_s1027" style="visibility:visible;position:absolute;margin-left:539.8pt;margin-top:57.5pt;width:238.9pt;height:14.2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Header1"/>
                    </w:pPr>
                    <w:r>
                      <w:tab/>
                    </w:r>
                  </w:p>
                </w:txbxContent>
              </v:textbox>
              <w10:wrap type="none" side="bothSides" anchorx="page" anchory="page"/>
            </v:rect>
          </w:pict>
        </mc:Fallback>
      </mc:AlternateContent>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1 A A"/>
    </w:pPr>
    <w:r>
      <w:rPr>
        <w:i w:val="1"/>
        <w:iCs w:val="1"/>
        <w:kern w:val="18"/>
        <w:sz w:val="22"/>
        <w:szCs w:val="22"/>
        <w:u w:val="none"/>
        <w:rtl w:val="0"/>
        <w:lang w:val="en-US"/>
      </w:rPr>
      <w:t>Specializing in reducing complex FDA regulatory law to practice</w:t>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1"/>
      <w:tabs>
        <w:tab w:val="center" w:pos="1910"/>
        <w:tab w:val="right" w:pos="2140"/>
        <w:tab w:val="clear" w:pos="4320"/>
        <w:tab w:val="clear" w:pos="8640"/>
      </w:tabs>
      <w:ind w:right="36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6855456</wp:posOffset>
              </wp:positionH>
              <wp:positionV relativeFrom="page">
                <wp:posOffset>730250</wp:posOffset>
              </wp:positionV>
              <wp:extent cx="3033398" cy="180340"/>
              <wp:effectExtent l="0" t="0" r="0" b="0"/>
              <wp:wrapNone/>
              <wp:docPr id="1073741827" name="officeArt object" descr="officeArt object"/>
              <wp:cNvGraphicFramePr/>
              <a:graphic xmlns:a="http://schemas.openxmlformats.org/drawingml/2006/main">
                <a:graphicData uri="http://schemas.microsoft.com/office/word/2010/wordprocessingShape">
                  <wps:wsp>
                    <wps:cNvSpPr/>
                    <wps:spPr>
                      <a:xfrm>
                        <a:off x="0" y="0"/>
                        <a:ext cx="3033398" cy="180340"/>
                      </a:xfrm>
                      <a:prstGeom prst="rect">
                        <a:avLst/>
                      </a:prstGeom>
                      <a:solidFill>
                        <a:srgbClr val="FFFFFF"/>
                      </a:solidFill>
                      <a:ln w="12700" cap="flat">
                        <a:noFill/>
                        <a:miter lim="400000"/>
                      </a:ln>
                      <a:effectLst/>
                    </wps:spPr>
                    <wps:txbx>
                      <w:txbxContent>
                        <w:p>
                          <w:pPr>
                            <w:pStyle w:val="Header1"/>
                          </w:pPr>
                          <w:r>
                            <w:tab/>
                          </w:r>
                        </w:p>
                      </w:txbxContent>
                    </wps:txbx>
                    <wps:bodyPr wrap="square" lIns="0" tIns="0" rIns="0" bIns="0" numCol="1" anchor="t">
                      <a:noAutofit/>
                    </wps:bodyPr>
                  </wps:wsp>
                </a:graphicData>
              </a:graphic>
            </wp:anchor>
          </w:drawing>
        </mc:Choice>
        <mc:Fallback>
          <w:pict>
            <v:rect id="_x0000_s1028" style="visibility:visible;position:absolute;margin-left:539.8pt;margin-top:57.5pt;width:238.9pt;height:14.2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Header1"/>
                    </w:pPr>
                    <w:r>
                      <w:tab/>
                    </w:r>
                  </w:p>
                </w:txbxContent>
              </v:textbox>
              <w10:wrap type="none" side="bothSides" anchorx="page" anchory="page"/>
            </v:rect>
          </w:pict>
        </mc:Fallback>
      </mc:AlternateContent>
    </w: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1"/>
      <w:tabs>
        <w:tab w:val="center" w:pos="1910"/>
        <w:tab w:val="right" w:pos="2140"/>
        <w:tab w:val="clear" w:pos="4320"/>
        <w:tab w:val="clear" w:pos="8640"/>
      </w:tabs>
      <w:ind w:right="36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6855456</wp:posOffset>
              </wp:positionH>
              <wp:positionV relativeFrom="page">
                <wp:posOffset>730250</wp:posOffset>
              </wp:positionV>
              <wp:extent cx="3033398" cy="180340"/>
              <wp:effectExtent l="0" t="0" r="0" b="0"/>
              <wp:wrapNone/>
              <wp:docPr id="1073741828" name="officeArt object" descr="officeArt object"/>
              <wp:cNvGraphicFramePr/>
              <a:graphic xmlns:a="http://schemas.openxmlformats.org/drawingml/2006/main">
                <a:graphicData uri="http://schemas.microsoft.com/office/word/2010/wordprocessingShape">
                  <wps:wsp>
                    <wps:cNvSpPr/>
                    <wps:spPr>
                      <a:xfrm>
                        <a:off x="0" y="0"/>
                        <a:ext cx="3033398" cy="180340"/>
                      </a:xfrm>
                      <a:prstGeom prst="rect">
                        <a:avLst/>
                      </a:prstGeom>
                      <a:solidFill>
                        <a:srgbClr val="FFFFFF"/>
                      </a:solidFill>
                      <a:ln w="12700" cap="flat">
                        <a:noFill/>
                        <a:miter lim="400000"/>
                      </a:ln>
                      <a:effectLst/>
                    </wps:spPr>
                    <wps:txbx>
                      <w:txbxContent>
                        <w:p>
                          <w:pPr>
                            <w:pStyle w:val="Header1"/>
                          </w:pPr>
                          <w:r>
                            <w:tab/>
                          </w:r>
                        </w:p>
                      </w:txbxContent>
                    </wps:txbx>
                    <wps:bodyPr wrap="square" lIns="0" tIns="0" rIns="0" bIns="0" numCol="1" anchor="t">
                      <a:noAutofit/>
                    </wps:bodyPr>
                  </wps:wsp>
                </a:graphicData>
              </a:graphic>
            </wp:anchor>
          </w:drawing>
        </mc:Choice>
        <mc:Fallback>
          <w:pict>
            <v:rect id="_x0000_s1029" style="visibility:visible;position:absolute;margin-left:539.8pt;margin-top:57.5pt;width:238.9pt;height:14.2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Header1"/>
                    </w:pPr>
                    <w:r>
                      <w:tab/>
                    </w:r>
                  </w:p>
                </w:txbxContent>
              </v:textbox>
              <w10:wrap type="none" side="bothSides" anchorx="page" anchory="page"/>
            </v:rect>
          </w:pict>
        </mc:Fallback>
      </mc:AlternateContent>
    </w: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A"/>
      <w:jc w:val="center"/>
      <w:rPr>
        <w:b w:val="1"/>
        <w:bCs w:val="1"/>
        <w:i w:val="1"/>
        <w:iCs w:val="1"/>
        <w:sz w:val="24"/>
        <w:szCs w:val="24"/>
      </w:rPr>
    </w:pPr>
    <w:r>
      <w:rPr>
        <w:b w:val="1"/>
        <w:bCs w:val="1"/>
        <w:i w:val="1"/>
        <w:iCs w:val="1"/>
        <w:sz w:val="24"/>
        <w:szCs w:val="24"/>
        <w:rtl w:val="0"/>
        <w:lang w:val="en-US"/>
      </w:rPr>
      <w:t xml:space="preserve">ADDENDUM: </w:t>
    </w:r>
  </w:p>
  <w:p>
    <w:pPr>
      <w:pStyle w:val="Free Form A"/>
      <w:jc w:val="center"/>
    </w:pPr>
    <w:r>
      <w:rPr>
        <w:b w:val="1"/>
        <w:bCs w:val="1"/>
        <w:i w:val="1"/>
        <w:iCs w:val="1"/>
        <w:sz w:val="24"/>
        <w:szCs w:val="24"/>
        <w:rtl w:val="0"/>
        <w:lang w:val="en-US"/>
      </w:rPr>
      <w:t>PAPERS AND PRESENTATIONS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0"/>
  </w:abstractNum>
  <w:abstractNum w:abstractNumId="3">
    <w:multiLevelType w:val="hybridMultilevel"/>
    <w:styleLink w:val="Bullets.0"/>
    <w:lvl w:ilvl="0">
      <w:start w:val="1"/>
      <w:numFmt w:val="bullet"/>
      <w:suff w:val="tab"/>
      <w:lvlText w:val="•"/>
      <w:lvlJc w:val="left"/>
      <w:pPr>
        <w:ind w:left="174" w:hanging="17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
  </w:abstractNum>
  <w:abstractNum w:abstractNumId="5">
    <w:multiLevelType w:val="hybridMultilevel"/>
    <w:styleLink w:val="Imported Style 1"/>
    <w:lvl w:ilvl="0">
      <w:start w:val="1"/>
      <w:numFmt w:val="bullet"/>
      <w:suff w:val="tab"/>
      <w:lvlText w:val="•"/>
      <w:lvlJc w:val="left"/>
      <w:pPr>
        <w:tabs>
          <w:tab w:val="left" w:pos="720"/>
        </w:tabs>
        <w:ind w:left="21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57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
  </w:abstractNum>
  <w:abstractNum w:abstractNumId="7">
    <w:multiLevelType w:val="hybridMultilevel"/>
    <w:styleLink w:val="Imported Style 2"/>
    <w:lvl w:ilvl="0">
      <w:start w:val="1"/>
      <w:numFmt w:val="bullet"/>
      <w:suff w:val="tab"/>
      <w:lvlText w:val="•"/>
      <w:lvlJc w:val="left"/>
      <w:pPr>
        <w:tabs>
          <w:tab w:val="left" w:pos="720"/>
        </w:tabs>
        <w:ind w:left="21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57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3"/>
  </w:abstractNum>
  <w:abstractNum w:abstractNumId="9">
    <w:multiLevelType w:val="hybridMultilevel"/>
    <w:styleLink w:val="Imported Style 3"/>
    <w:lvl w:ilvl="0">
      <w:start w:val="1"/>
      <w:numFmt w:val="bullet"/>
      <w:suff w:val="tab"/>
      <w:lvlText w:val="•"/>
      <w:lvlJc w:val="left"/>
      <w:pPr>
        <w:tabs>
          <w:tab w:val="left" w:pos="720"/>
        </w:tabs>
        <w:ind w:left="21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57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4"/>
  </w:abstractNum>
  <w:abstractNum w:abstractNumId="11">
    <w:multiLevelType w:val="hybridMultilevel"/>
    <w:styleLink w:val="Imported Style 4"/>
    <w:lvl w:ilvl="0">
      <w:start w:val="1"/>
      <w:numFmt w:val="bullet"/>
      <w:suff w:val="tab"/>
      <w:lvlText w:val="•"/>
      <w:lvlJc w:val="left"/>
      <w:pPr>
        <w:tabs>
          <w:tab w:val="left" w:pos="720"/>
        </w:tabs>
        <w:ind w:left="21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57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5"/>
  </w:abstractNum>
  <w:abstractNum w:abstractNumId="13">
    <w:multiLevelType w:val="hybridMultilevel"/>
    <w:styleLink w:val="Imported Style 5"/>
    <w:lvl w:ilvl="0">
      <w:start w:val="1"/>
      <w:numFmt w:val="bullet"/>
      <w:suff w:val="tab"/>
      <w:lvlText w:val="•"/>
      <w:lvlJc w:val="left"/>
      <w:pPr>
        <w:tabs>
          <w:tab w:val="left" w:pos="720"/>
        </w:tabs>
        <w:ind w:left="21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57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6"/>
  </w:abstractNum>
  <w:abstractNum w:abstractNumId="15">
    <w:multiLevelType w:val="hybridMultilevel"/>
    <w:styleLink w:val="Imported Style 6"/>
    <w:lvl w:ilvl="0">
      <w:start w:val="1"/>
      <w:numFmt w:val="bullet"/>
      <w:suff w:val="tab"/>
      <w:lvlText w:val="•"/>
      <w:lvlJc w:val="left"/>
      <w:pPr>
        <w:tabs>
          <w:tab w:val="left" w:pos="720"/>
        </w:tabs>
        <w:ind w:left="21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57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bullet"/>
      <w:suff w:val="tab"/>
      <w:lvlText w:val="•"/>
      <w:lvlJc w:val="left"/>
      <w:pPr>
        <w:ind w:left="21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7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1"/>
  </w:abstractNum>
  <w:abstractNum w:abstractNumId="19">
    <w:multiLevelType w:val="hybridMultilevel"/>
    <w:styleLink w:val="Imported Style 11"/>
    <w:lvl w:ilvl="0">
      <w:start w:val="1"/>
      <w:numFmt w:val="bullet"/>
      <w:suff w:val="tab"/>
      <w:lvlText w:val="•"/>
      <w:lvlJc w:val="left"/>
      <w:pPr>
        <w:ind w:left="21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7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2"/>
  </w:abstractNum>
  <w:abstractNum w:abstractNumId="21">
    <w:multiLevelType w:val="hybridMultilevel"/>
    <w:styleLink w:val="Imported Style 12"/>
    <w:lvl w:ilvl="0">
      <w:start w:val="1"/>
      <w:numFmt w:val="bullet"/>
      <w:suff w:val="tab"/>
      <w:lvlText w:val="•"/>
      <w:lvlJc w:val="left"/>
      <w:pPr>
        <w:ind w:left="21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7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3"/>
  </w:abstractNum>
  <w:abstractNum w:abstractNumId="23">
    <w:multiLevelType w:val="hybridMultilevel"/>
    <w:styleLink w:val="Imported Style 13"/>
    <w:lvl w:ilvl="0">
      <w:start w:val="1"/>
      <w:numFmt w:val="bullet"/>
      <w:suff w:val="tab"/>
      <w:lvlText w:val="•"/>
      <w:lvlJc w:val="left"/>
      <w:pPr>
        <w:ind w:left="21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7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4"/>
  </w:abstractNum>
  <w:abstractNum w:abstractNumId="25">
    <w:multiLevelType w:val="hybridMultilevel"/>
    <w:styleLink w:val="Imported Style 14"/>
    <w:lvl w:ilvl="0">
      <w:start w:val="1"/>
      <w:numFmt w:val="bullet"/>
      <w:suff w:val="nothing"/>
      <w:lvlText w:val="•"/>
      <w:lvlJc w:val="left"/>
      <w:pPr>
        <w:tabs>
          <w:tab w:val="left" w:pos="180"/>
        </w:tabs>
        <w:ind w:left="132" w:hanging="132"/>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80"/>
        </w:tabs>
        <w:ind w:left="57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80"/>
        </w:tabs>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80"/>
        </w:tabs>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80"/>
        </w:tabs>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80"/>
        </w:tabs>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80"/>
        </w:tabs>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80"/>
        </w:tabs>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80"/>
        </w:tabs>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5"/>
  </w:abstractNum>
  <w:abstractNum w:abstractNumId="27">
    <w:multiLevelType w:val="hybridMultilevel"/>
    <w:styleLink w:val="Imported Style 15"/>
    <w:lvl w:ilvl="0">
      <w:start w:val="1"/>
      <w:numFmt w:val="bullet"/>
      <w:suff w:val="tab"/>
      <w:lvlText w:val="•"/>
      <w:lvlJc w:val="left"/>
      <w:pPr>
        <w:ind w:left="21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7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6"/>
  </w:abstractNum>
  <w:abstractNum w:abstractNumId="29">
    <w:multiLevelType w:val="hybridMultilevel"/>
    <w:styleLink w:val="Imported Style 16"/>
    <w:lvl w:ilvl="0">
      <w:start w:val="1"/>
      <w:numFmt w:val="bullet"/>
      <w:suff w:val="tab"/>
      <w:lvlText w:val="•"/>
      <w:lvlJc w:val="left"/>
      <w:pPr>
        <w:ind w:left="21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7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7"/>
  </w:abstractNum>
  <w:abstractNum w:abstractNumId="31">
    <w:multiLevelType w:val="hybridMultilevel"/>
    <w:styleLink w:val="Imported Style 17"/>
    <w:lvl w:ilvl="0">
      <w:start w:val="1"/>
      <w:numFmt w:val="bullet"/>
      <w:suff w:val="nothing"/>
      <w:lvlText w:val="•"/>
      <w:lvlJc w:val="left"/>
      <w:pPr>
        <w:tabs>
          <w:tab w:val="left" w:pos="180"/>
        </w:tabs>
        <w:ind w:left="132" w:hanging="132"/>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80"/>
        </w:tabs>
        <w:ind w:left="57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80"/>
        </w:tabs>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80"/>
        </w:tabs>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80"/>
        </w:tabs>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80"/>
        </w:tabs>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80"/>
        </w:tabs>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80"/>
        </w:tabs>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80"/>
        </w:tabs>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8"/>
  </w:abstractNum>
  <w:abstractNum w:abstractNumId="33">
    <w:multiLevelType w:val="hybridMultilevel"/>
    <w:styleLink w:val="Imported Style 18"/>
    <w:lvl w:ilvl="0">
      <w:start w:val="1"/>
      <w:numFmt w:val="bullet"/>
      <w:suff w:val="nothing"/>
      <w:lvlText w:val="•"/>
      <w:lvlJc w:val="left"/>
      <w:pPr>
        <w:ind w:left="132" w:hanging="132"/>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7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9"/>
  </w:abstractNum>
  <w:abstractNum w:abstractNumId="35">
    <w:multiLevelType w:val="hybridMultilevel"/>
    <w:styleLink w:val="Imported Style 19"/>
    <w:lvl w:ilvl="0">
      <w:start w:val="1"/>
      <w:numFmt w:val="bullet"/>
      <w:suff w:val="nothing"/>
      <w:lvlText w:val="•"/>
      <w:lvlJc w:val="left"/>
      <w:pPr>
        <w:ind w:left="132" w:hanging="132"/>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74" w:hanging="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9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8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0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40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73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125" w:hanging="5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7"/>
  </w:abstractNum>
  <w:abstractNum w:abstractNumId="37">
    <w:multiLevelType w:val="hybridMultilevel"/>
    <w:styleLink w:val="Imported Style 7"/>
    <w:lvl w:ilvl="0">
      <w:start w:val="1"/>
      <w:numFmt w:val="bullet"/>
      <w:suff w:val="tab"/>
      <w:lvlText w:val="•"/>
      <w:lvlJc w:val="left"/>
      <w:pPr>
        <w:tabs>
          <w:tab w:val="left" w:pos="720"/>
        </w:tabs>
        <w:ind w:left="214" w:hanging="214"/>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33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51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69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87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105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123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141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159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8"/>
  </w:abstractNum>
  <w:abstractNum w:abstractNumId="39">
    <w:multiLevelType w:val="hybridMultilevel"/>
    <w:styleLink w:val="Imported Style 8"/>
    <w:lvl w:ilvl="0">
      <w:start w:val="1"/>
      <w:numFmt w:val="bullet"/>
      <w:suff w:val="tab"/>
      <w:lvlText w:val="•"/>
      <w:lvlJc w:val="left"/>
      <w:pPr>
        <w:tabs>
          <w:tab w:val="left" w:pos="720"/>
        </w:tabs>
        <w:ind w:left="214" w:hanging="214"/>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33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51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69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87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105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123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141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1591" w:hanging="151"/>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190" w:hanging="1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 w:numId="20">
    <w:abstractNumId w:val="19"/>
  </w:num>
  <w:num w:numId="21">
    <w:abstractNumId w:val="18"/>
  </w:num>
  <w:num w:numId="22">
    <w:abstractNumId w:val="21"/>
  </w:num>
  <w:num w:numId="23">
    <w:abstractNumId w:val="20"/>
  </w:num>
  <w:num w:numId="24">
    <w:abstractNumId w:val="23"/>
  </w:num>
  <w:num w:numId="25">
    <w:abstractNumId w:val="22"/>
  </w:num>
  <w:num w:numId="26">
    <w:abstractNumId w:val="25"/>
  </w:num>
  <w:num w:numId="27">
    <w:abstractNumId w:val="24"/>
  </w:num>
  <w:num w:numId="28">
    <w:abstractNumId w:val="27"/>
  </w:num>
  <w:num w:numId="29">
    <w:abstractNumId w:val="26"/>
  </w:num>
  <w:num w:numId="30">
    <w:abstractNumId w:val="29"/>
  </w:num>
  <w:num w:numId="31">
    <w:abstractNumId w:val="28"/>
  </w:num>
  <w:num w:numId="32">
    <w:abstractNumId w:val="31"/>
  </w:num>
  <w:num w:numId="33">
    <w:abstractNumId w:val="30"/>
  </w:num>
  <w:num w:numId="34">
    <w:abstractNumId w:val="33"/>
  </w:num>
  <w:num w:numId="35">
    <w:abstractNumId w:val="32"/>
  </w:num>
  <w:num w:numId="36">
    <w:abstractNumId w:val="35"/>
  </w:num>
  <w:num w:numId="37">
    <w:abstractNumId w:val="34"/>
  </w:num>
  <w:num w:numId="38">
    <w:abstractNumId w:val="37"/>
  </w:num>
  <w:num w:numId="39">
    <w:abstractNumId w:val="36"/>
  </w:num>
  <w:num w:numId="40">
    <w:abstractNumId w:val="39"/>
  </w:num>
  <w:num w:numId="41">
    <w:abstractNumId w:val="3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1">
    <w:name w:val="Header1"/>
    <w:next w:val="Header1"/>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1 A A">
    <w:name w:val="Heading 1 A A"/>
    <w:next w:val="Body A"/>
    <w:pPr>
      <w:keepNext w:val="1"/>
      <w:keepLines w:val="0"/>
      <w:pageBreakBefore w:val="0"/>
      <w:widowControl w:val="0"/>
      <w:shd w:val="clear" w:color="auto" w:fill="auto"/>
      <w:suppressAutoHyphens w:val="0"/>
      <w:bidi w:val="0"/>
      <w:spacing w:before="0" w:after="0" w:line="252"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Title A">
    <w:name w:val="Title A"/>
    <w:next w:val="Title A"/>
    <w:pPr>
      <w:keepNext w:val="0"/>
      <w:keepLines w:val="0"/>
      <w:pageBreakBefore w:val="0"/>
      <w:widowControl w:val="0"/>
      <w:shd w:val="clear" w:color="auto" w:fill="auto"/>
      <w:suppressAutoHyphens w:val="0"/>
      <w:bidi w:val="0"/>
      <w:spacing w:before="0" w:after="0" w:line="252" w:lineRule="auto"/>
      <w:ind w:left="0" w:right="0" w:firstLine="0"/>
      <w:jc w:val="center"/>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Heading 4 A">
    <w:name w:val="Heading 4 A"/>
    <w:next w:val="Body A"/>
    <w:pPr>
      <w:keepNext w:val="1"/>
      <w:keepLines w:val="0"/>
      <w:pageBreakBefore w:val="0"/>
      <w:widowControl w:val="0"/>
      <w:shd w:val="clear" w:color="auto" w:fill="auto"/>
      <w:suppressAutoHyphens w:val="0"/>
      <w:bidi w:val="0"/>
      <w:spacing w:before="0" w:after="0" w:line="244" w:lineRule="auto"/>
      <w:ind w:left="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18"/>
      <w:position w:val="0"/>
      <w:sz w:val="22"/>
      <w:szCs w:val="22"/>
      <w:u w:val="none" w:color="000000"/>
      <w:shd w:val="nil" w:color="auto" w:fill="auto"/>
      <w:vertAlign w:val="baseline"/>
      <w:lang w:val="en-US"/>
      <w14:textFill>
        <w14:solidFill>
          <w14:srgbClr w14:val="000000"/>
        </w14:solidFill>
      </w14:textFill>
    </w:rPr>
  </w:style>
  <w:style w:type="numbering" w:styleId="Bullets">
    <w:name w:val="Bullets"/>
    <w:pPr>
      <w:numPr>
        <w:numId w:val="1"/>
      </w:numPr>
    </w:pPr>
  </w:style>
  <w:style w:type="numbering" w:styleId="Bullets.0">
    <w:name w:val="Bullets.0"/>
    <w:pPr>
      <w:numPr>
        <w:numId w:val="3"/>
      </w:numPr>
    </w:pPr>
  </w:style>
  <w:style w:type="numbering" w:styleId="Imported Style 1">
    <w:name w:val="Imported Style 1"/>
    <w:pPr>
      <w:numPr>
        <w:numId w:val="6"/>
      </w:numPr>
    </w:pPr>
  </w:style>
  <w:style w:type="numbering" w:styleId="Imported Style 2">
    <w:name w:val="Imported Style 2"/>
    <w:pPr>
      <w:numPr>
        <w:numId w:val="8"/>
      </w:numPr>
    </w:pPr>
  </w:style>
  <w:style w:type="numbering" w:styleId="Imported Style 3">
    <w:name w:val="Imported Style 3"/>
    <w:pPr>
      <w:numPr>
        <w:numId w:val="10"/>
      </w:numPr>
    </w:pPr>
  </w:style>
  <w:style w:type="numbering" w:styleId="Imported Style 4">
    <w:name w:val="Imported Style 4"/>
    <w:pPr>
      <w:numPr>
        <w:numId w:val="12"/>
      </w:numPr>
    </w:pPr>
  </w:style>
  <w:style w:type="numbering" w:styleId="Imported Style 5">
    <w:name w:val="Imported Style 5"/>
    <w:pPr>
      <w:numPr>
        <w:numId w:val="14"/>
      </w:numPr>
    </w:pPr>
  </w:style>
  <w:style w:type="numbering" w:styleId="Imported Style 6">
    <w:name w:val="Imported Style 6"/>
    <w:pPr>
      <w:numPr>
        <w:numId w:val="16"/>
      </w:numPr>
    </w:pPr>
  </w:style>
  <w:style w:type="numbering" w:styleId="Imported Style 10">
    <w:name w:val="Imported Style 10"/>
    <w:pPr>
      <w:numPr>
        <w:numId w:val="18"/>
      </w:numPr>
    </w:pPr>
  </w:style>
  <w:style w:type="numbering" w:styleId="Imported Style 11">
    <w:name w:val="Imported Style 11"/>
    <w:pPr>
      <w:numPr>
        <w:numId w:val="20"/>
      </w:numPr>
    </w:pPr>
  </w:style>
  <w:style w:type="numbering" w:styleId="Imported Style 12">
    <w:name w:val="Imported Style 12"/>
    <w:pPr>
      <w:numPr>
        <w:numId w:val="22"/>
      </w:numPr>
    </w:pPr>
  </w:style>
  <w:style w:type="numbering" w:styleId="Imported Style 13">
    <w:name w:val="Imported Style 13"/>
    <w:pPr>
      <w:numPr>
        <w:numId w:val="24"/>
      </w:numPr>
    </w:pPr>
  </w:style>
  <w:style w:type="numbering" w:styleId="Imported Style 14">
    <w:name w:val="Imported Style 14"/>
    <w:pPr>
      <w:numPr>
        <w:numId w:val="26"/>
      </w:numPr>
    </w:pPr>
  </w:style>
  <w:style w:type="numbering" w:styleId="Imported Style 15">
    <w:name w:val="Imported Style 15"/>
    <w:pPr>
      <w:numPr>
        <w:numId w:val="28"/>
      </w:numPr>
    </w:pPr>
  </w:style>
  <w:style w:type="numbering" w:styleId="Imported Style 16">
    <w:name w:val="Imported Style 16"/>
    <w:pPr>
      <w:numPr>
        <w:numId w:val="30"/>
      </w:numPr>
    </w:pPr>
  </w:style>
  <w:style w:type="numbering" w:styleId="Imported Style 17">
    <w:name w:val="Imported Style 17"/>
    <w:pPr>
      <w:numPr>
        <w:numId w:val="32"/>
      </w:numPr>
    </w:pPr>
  </w:style>
  <w:style w:type="numbering" w:styleId="Imported Style 18">
    <w:name w:val="Imported Style 18"/>
    <w:pPr>
      <w:numPr>
        <w:numId w:val="34"/>
      </w:numPr>
    </w:pPr>
  </w:style>
  <w:style w:type="numbering" w:styleId="Imported Style 19">
    <w:name w:val="Imported Style 19"/>
    <w:pPr>
      <w:numPr>
        <w:numId w:val="36"/>
      </w:numPr>
    </w:pPr>
  </w:style>
  <w:style w:type="numbering" w:styleId="Imported Style 7">
    <w:name w:val="Imported Style 7"/>
    <w:pPr>
      <w:numPr>
        <w:numId w:val="38"/>
      </w:numPr>
    </w:pPr>
  </w:style>
  <w:style w:type="numbering" w:styleId="Imported Style 8">
    <w:name w:val="Imported Style 8"/>
    <w:pPr>
      <w:numPr>
        <w:numId w:val="40"/>
      </w:numPr>
    </w:pPr>
  </w:style>
  <w:style w:type="paragraph" w:styleId="Heading 2 A A">
    <w:name w:val="Heading 2 A A"/>
    <w:next w:val="Body A"/>
    <w:pPr>
      <w:keepNext w:val="1"/>
      <w:keepLines w:val="0"/>
      <w:pageBreakBefore w:val="0"/>
      <w:widowControl w:val="0"/>
      <w:shd w:val="clear" w:color="auto" w:fill="auto"/>
      <w:suppressAutoHyphens w:val="0"/>
      <w:bidi w:val="0"/>
      <w:spacing w:before="0" w:after="0" w:line="252"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singl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Free Form A">
    <w:name w:val="Free Form A"/>
    <w:next w:val="Free Form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3 A A">
    <w:name w:val="Heading 3 A A"/>
    <w:next w:val="Body A"/>
    <w:pPr>
      <w:keepNext w:val="1"/>
      <w:keepLines w:val="0"/>
      <w:pageBreakBefore w:val="0"/>
      <w:widowControl w:val="0"/>
      <w:shd w:val="clear" w:color="auto" w:fill="auto"/>
      <w:suppressAutoHyphens w:val="0"/>
      <w:bidi w:val="0"/>
      <w:spacing w:before="0" w:after="0" w:line="252" w:lineRule="auto"/>
      <w:ind w:left="0" w:right="0" w:firstLine="0"/>
      <w:jc w:val="center"/>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Fill>
        <w14:solidFill>
          <w14:srgbClr w14:val="000000"/>
        </w14:solidFill>
      </w14:textFill>
    </w:rPr>
  </w:style>
  <w:style w:type="paragraph" w:styleId="Body Text 21">
    <w:name w:val="Body Text 21"/>
    <w:next w:val="Body Text 21"/>
    <w:pPr>
      <w:keepNext w:val="0"/>
      <w:keepLines w:val="0"/>
      <w:pageBreakBefore w:val="0"/>
      <w:widowControl w:val="0"/>
      <w:shd w:val="clear" w:color="auto" w:fill="auto"/>
      <w:suppressAutoHyphens w:val="0"/>
      <w:bidi w:val="0"/>
      <w:spacing w:before="0" w:after="0" w:line="252"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numbering" Target="numbering.xml"/><Relationship Id="rId1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